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26C3" w14:textId="77777777" w:rsidR="00B43210" w:rsidRPr="00B43210" w:rsidRDefault="00B43210" w:rsidP="00B43210">
      <w:pPr>
        <w:spacing w:after="0" w:line="240" w:lineRule="auto"/>
        <w:rPr>
          <w:rFonts w:ascii="Calibri" w:eastAsia="Calibri" w:hAnsi="Calibri" w:cs="Times New Roman"/>
        </w:rPr>
      </w:pPr>
      <w:bookmarkStart w:id="0" w:name="_Hlk118472831"/>
    </w:p>
    <w:p w14:paraId="5417ECF7" w14:textId="77777777" w:rsidR="00B43210" w:rsidRPr="00B43210" w:rsidRDefault="00B43210" w:rsidP="00B43210">
      <w:pPr>
        <w:spacing w:after="0" w:line="240" w:lineRule="auto"/>
        <w:rPr>
          <w:rFonts w:ascii="Calibri" w:eastAsia="Calibri" w:hAnsi="Calibri" w:cs="Times New Roman"/>
        </w:rPr>
      </w:pPr>
    </w:p>
    <w:p w14:paraId="34EAAFAD" w14:textId="4E427CA3" w:rsidR="00B43210" w:rsidRPr="00B43210" w:rsidRDefault="00B43210" w:rsidP="00B43210">
      <w:pPr>
        <w:spacing w:after="0" w:line="240" w:lineRule="auto"/>
        <w:rPr>
          <w:rFonts w:ascii="Arial" w:eastAsia="Calibri" w:hAnsi="Arial" w:cs="Arial"/>
          <w:sz w:val="24"/>
          <w:szCs w:val="24"/>
        </w:rPr>
      </w:pPr>
    </w:p>
    <w:p w14:paraId="2A624190" w14:textId="77777777" w:rsidR="00B43210" w:rsidRPr="00B43210" w:rsidRDefault="00B43210" w:rsidP="00B43210">
      <w:pPr>
        <w:spacing w:after="0" w:line="240" w:lineRule="auto"/>
        <w:rPr>
          <w:rFonts w:ascii="Calibri" w:eastAsia="Calibri" w:hAnsi="Calibri" w:cs="Times New Roman"/>
        </w:rPr>
      </w:pPr>
    </w:p>
    <w:p w14:paraId="1679F041" w14:textId="77777777" w:rsidR="00B43210" w:rsidRPr="00B43210" w:rsidRDefault="00B43210" w:rsidP="00B43210">
      <w:pPr>
        <w:spacing w:after="0" w:line="240" w:lineRule="auto"/>
        <w:rPr>
          <w:rFonts w:ascii="Calibri" w:eastAsia="Calibri" w:hAnsi="Calibri" w:cs="Times New Roman"/>
        </w:rPr>
      </w:pPr>
    </w:p>
    <w:p w14:paraId="5F02B744" w14:textId="77777777" w:rsidR="00B43210" w:rsidRPr="00B43210" w:rsidRDefault="00B43210" w:rsidP="00B43210">
      <w:pPr>
        <w:spacing w:after="0" w:line="240" w:lineRule="auto"/>
        <w:rPr>
          <w:rFonts w:ascii="Calibri" w:eastAsia="Calibri" w:hAnsi="Calibri" w:cs="Times New Roman"/>
        </w:rPr>
      </w:pPr>
    </w:p>
    <w:p w14:paraId="063D9AC0" w14:textId="77777777" w:rsidR="00B43210" w:rsidRPr="00B43210" w:rsidRDefault="00B43210" w:rsidP="00B43210">
      <w:pPr>
        <w:spacing w:after="0" w:line="240" w:lineRule="auto"/>
        <w:rPr>
          <w:rFonts w:ascii="Calibri" w:eastAsia="Calibri" w:hAnsi="Calibri" w:cs="Times New Roman"/>
        </w:rPr>
      </w:pPr>
    </w:p>
    <w:p w14:paraId="04667293" w14:textId="77777777" w:rsidR="00B43210" w:rsidRPr="00B43210" w:rsidRDefault="00B43210" w:rsidP="00B43210">
      <w:pPr>
        <w:spacing w:after="0" w:line="240" w:lineRule="auto"/>
        <w:rPr>
          <w:rFonts w:ascii="Calibri" w:eastAsia="Calibri" w:hAnsi="Calibri" w:cs="Times New Roman"/>
        </w:rPr>
      </w:pPr>
    </w:p>
    <w:p w14:paraId="69461511" w14:textId="77777777" w:rsidR="00B43210" w:rsidRPr="00B43210" w:rsidRDefault="00B43210" w:rsidP="00B43210">
      <w:pPr>
        <w:widowControl w:val="0"/>
        <w:spacing w:after="0" w:line="0" w:lineRule="atLeast"/>
        <w:jc w:val="center"/>
        <w:rPr>
          <w:rFonts w:ascii="Arial" w:eastAsia="Times New Roman" w:hAnsi="Arial" w:cs="Arial"/>
          <w:iCs/>
          <w:color w:val="7C298E"/>
          <w:kern w:val="28"/>
          <w:sz w:val="72"/>
          <w:szCs w:val="72"/>
          <w:lang w:eastAsia="en-GB"/>
        </w:rPr>
      </w:pPr>
    </w:p>
    <w:p w14:paraId="40A318B3" w14:textId="77777777" w:rsidR="00B43210" w:rsidRPr="00B43210" w:rsidRDefault="00B43210" w:rsidP="00B43210">
      <w:pPr>
        <w:widowControl w:val="0"/>
        <w:spacing w:after="0" w:line="0" w:lineRule="atLeast"/>
        <w:jc w:val="center"/>
        <w:rPr>
          <w:rFonts w:ascii="Arial" w:eastAsia="Times New Roman" w:hAnsi="Arial" w:cs="Arial"/>
          <w:iCs/>
          <w:color w:val="7C298E"/>
          <w:kern w:val="28"/>
          <w:sz w:val="72"/>
          <w:szCs w:val="72"/>
          <w:lang w:eastAsia="en-GB"/>
        </w:rPr>
      </w:pPr>
    </w:p>
    <w:p w14:paraId="4BF7579B" w14:textId="77777777" w:rsidR="00B43210" w:rsidRPr="00B43210" w:rsidRDefault="00B43210" w:rsidP="00B43210">
      <w:pPr>
        <w:spacing w:after="0" w:line="240" w:lineRule="auto"/>
        <w:jc w:val="center"/>
        <w:rPr>
          <w:rFonts w:ascii="Arial" w:eastAsia="Calibri" w:hAnsi="Arial" w:cs="Arial"/>
          <w:b/>
          <w:color w:val="7C298E"/>
          <w:sz w:val="72"/>
          <w:szCs w:val="72"/>
        </w:rPr>
      </w:pPr>
      <w:r w:rsidRPr="00B43210">
        <w:rPr>
          <w:rFonts w:ascii="Arial" w:eastAsia="Times New Roman" w:hAnsi="Arial" w:cs="Arial"/>
          <w:iCs/>
          <w:color w:val="7C298E"/>
          <w:kern w:val="28"/>
          <w:sz w:val="56"/>
          <w:szCs w:val="56"/>
          <w:lang w:eastAsia="en-GB"/>
        </w:rPr>
        <w:t xml:space="preserve">Risk Strategy </w:t>
      </w:r>
    </w:p>
    <w:p w14:paraId="6AE8A135" w14:textId="77777777" w:rsidR="00B43210" w:rsidRPr="00B43210" w:rsidRDefault="00B43210" w:rsidP="00B43210">
      <w:pPr>
        <w:spacing w:after="0" w:line="240" w:lineRule="auto"/>
        <w:jc w:val="center"/>
        <w:rPr>
          <w:rFonts w:ascii="Arial" w:eastAsia="Calibri" w:hAnsi="Arial" w:cs="Arial"/>
          <w:b/>
          <w:color w:val="7C298E"/>
          <w:sz w:val="72"/>
          <w:szCs w:val="72"/>
        </w:rPr>
      </w:pPr>
    </w:p>
    <w:p w14:paraId="797D6E87" w14:textId="77777777" w:rsidR="00B43210" w:rsidRPr="00B43210" w:rsidRDefault="00B43210" w:rsidP="00B43210">
      <w:pPr>
        <w:spacing w:after="0" w:line="240" w:lineRule="auto"/>
        <w:jc w:val="center"/>
        <w:rPr>
          <w:rFonts w:ascii="Arial Rounded MT Bold" w:eastAsia="Calibri" w:hAnsi="Arial Rounded MT Bold" w:cs="Times New Roman"/>
          <w:b/>
          <w:color w:val="7C298E"/>
          <w:sz w:val="72"/>
          <w:szCs w:val="72"/>
        </w:rPr>
      </w:pPr>
    </w:p>
    <w:p w14:paraId="5C06300C" w14:textId="77777777" w:rsidR="00B43210" w:rsidRPr="00B43210" w:rsidRDefault="00B43210" w:rsidP="00B43210">
      <w:pPr>
        <w:spacing w:after="0" w:line="240" w:lineRule="auto"/>
        <w:jc w:val="center"/>
        <w:rPr>
          <w:rFonts w:ascii="Arial Rounded MT Bold" w:eastAsia="Calibri" w:hAnsi="Arial Rounded MT Bold" w:cs="Times New Roman"/>
          <w:b/>
          <w:color w:val="7C298E"/>
          <w:sz w:val="72"/>
          <w:szCs w:val="72"/>
        </w:rPr>
      </w:pPr>
    </w:p>
    <w:p w14:paraId="746E11B3" w14:textId="77777777" w:rsidR="00B43210" w:rsidRPr="00B43210" w:rsidRDefault="00B43210" w:rsidP="00B43210">
      <w:pPr>
        <w:spacing w:after="0" w:line="240" w:lineRule="auto"/>
        <w:rPr>
          <w:rFonts w:ascii="Arial Rounded MT Bold" w:eastAsia="Calibri" w:hAnsi="Arial Rounded MT Bold" w:cs="Times New Roman"/>
          <w:b/>
          <w:color w:val="7C298E"/>
          <w:sz w:val="72"/>
          <w:szCs w:val="72"/>
        </w:rPr>
      </w:pPr>
    </w:p>
    <w:p w14:paraId="3DA9FBF6" w14:textId="77777777" w:rsidR="00B43210" w:rsidRPr="00B43210" w:rsidRDefault="00B43210" w:rsidP="00B43210">
      <w:pPr>
        <w:spacing w:after="0" w:line="240" w:lineRule="auto"/>
        <w:rPr>
          <w:rFonts w:ascii="Arial Rounded MT Bold" w:eastAsia="Calibri" w:hAnsi="Arial Rounded MT Bold" w:cs="Times New Roman"/>
          <w:b/>
          <w:color w:val="7C298E"/>
          <w:sz w:val="72"/>
          <w:szCs w:val="72"/>
        </w:rPr>
      </w:pPr>
    </w:p>
    <w:p w14:paraId="3D33D0A1" w14:textId="77777777" w:rsidR="00B43210" w:rsidRPr="00B43210" w:rsidRDefault="00B43210" w:rsidP="00B43210">
      <w:pPr>
        <w:spacing w:after="0" w:line="240" w:lineRule="auto"/>
        <w:rPr>
          <w:rFonts w:ascii="Arial Rounded MT Bold" w:eastAsia="Calibri" w:hAnsi="Arial Rounded MT Bold" w:cs="Times New Roman"/>
          <w:b/>
          <w:color w:val="7C298E"/>
          <w:sz w:val="72"/>
          <w:szCs w:val="72"/>
        </w:rPr>
      </w:pPr>
    </w:p>
    <w:p w14:paraId="07D7762D" w14:textId="77777777" w:rsidR="00B43210" w:rsidRPr="00B43210" w:rsidRDefault="00B43210" w:rsidP="00B43210">
      <w:pPr>
        <w:spacing w:after="0" w:line="240" w:lineRule="auto"/>
        <w:rPr>
          <w:rFonts w:ascii="Arial Rounded MT Bold" w:eastAsia="Calibri" w:hAnsi="Arial Rounded MT Bold" w:cs="Times New Roman"/>
          <w:b/>
          <w:color w:val="7C298E"/>
          <w:sz w:val="72"/>
          <w:szCs w:val="72"/>
        </w:rPr>
      </w:pPr>
    </w:p>
    <w:p w14:paraId="6FDD4CF9" w14:textId="77777777" w:rsidR="00B43210" w:rsidRPr="00B43210" w:rsidRDefault="00B43210" w:rsidP="00B43210">
      <w:pPr>
        <w:spacing w:after="0" w:line="240" w:lineRule="auto"/>
        <w:rPr>
          <w:rFonts w:ascii="Arial Rounded MT Bold" w:eastAsia="Calibri" w:hAnsi="Arial Rounded MT Bold" w:cs="Times New Roman"/>
          <w:b/>
          <w:color w:val="7C298E"/>
          <w:sz w:val="72"/>
          <w:szCs w:val="72"/>
        </w:rPr>
      </w:pPr>
    </w:p>
    <w:p w14:paraId="17DEE83E" w14:textId="77777777" w:rsidR="00B43210" w:rsidRPr="00B43210" w:rsidRDefault="00B43210" w:rsidP="00B43210">
      <w:pPr>
        <w:spacing w:after="0" w:line="240" w:lineRule="auto"/>
        <w:rPr>
          <w:rFonts w:ascii="Arial Rounded MT Bold" w:eastAsia="Calibri" w:hAnsi="Arial Rounded MT Bold" w:cs="Times New Roman"/>
          <w:b/>
          <w:color w:val="7C298E"/>
          <w:sz w:val="72"/>
          <w:szCs w:val="72"/>
        </w:rPr>
      </w:pPr>
    </w:p>
    <w:sdt>
      <w:sdtPr>
        <w:rPr>
          <w:rFonts w:ascii="Arial" w:eastAsia="Times New Roman" w:hAnsi="Arial" w:cs="Times New Roman"/>
          <w:sz w:val="24"/>
          <w:szCs w:val="20"/>
          <w:lang w:eastAsia="en-GB"/>
        </w:rPr>
        <w:id w:val="-498267636"/>
        <w:docPartObj>
          <w:docPartGallery w:val="Table of Contents"/>
          <w:docPartUnique/>
        </w:docPartObj>
      </w:sdtPr>
      <w:sdtEndPr>
        <w:rPr>
          <w:b/>
          <w:bCs/>
          <w:noProof/>
        </w:rPr>
      </w:sdtEndPr>
      <w:sdtContent>
        <w:p w14:paraId="5D8048B2" w14:textId="77777777" w:rsidR="00B43210" w:rsidRPr="00B43210" w:rsidRDefault="00B43210" w:rsidP="00B43210">
          <w:pPr>
            <w:keepNext/>
            <w:keepLines/>
            <w:spacing w:before="240" w:after="240"/>
            <w:ind w:left="357" w:hanging="357"/>
            <w:rPr>
              <w:rFonts w:eastAsia="Times New Roman" w:cstheme="minorHAnsi"/>
              <w:b/>
              <w:color w:val="244D7A"/>
              <w:sz w:val="24"/>
              <w:szCs w:val="24"/>
              <w:lang w:eastAsia="en-GB"/>
            </w:rPr>
          </w:pPr>
          <w:r w:rsidRPr="00B43210">
            <w:rPr>
              <w:rFonts w:eastAsiaTheme="majorEastAsia" w:cstheme="minorHAnsi"/>
              <w:b/>
              <w:color w:val="244D7A"/>
              <w:sz w:val="24"/>
              <w:szCs w:val="24"/>
              <w:lang w:val="en-US"/>
            </w:rPr>
            <w:t>Contents</w:t>
          </w:r>
        </w:p>
        <w:p w14:paraId="1D71BB05" w14:textId="77777777" w:rsidR="00B43210" w:rsidRPr="00B43210" w:rsidRDefault="00B43210" w:rsidP="00B43210">
          <w:pPr>
            <w:tabs>
              <w:tab w:val="left" w:pos="440"/>
              <w:tab w:val="right" w:leader="dot" w:pos="9038"/>
            </w:tabs>
            <w:spacing w:after="100" w:line="240" w:lineRule="auto"/>
            <w:rPr>
              <w:rFonts w:eastAsiaTheme="minorEastAsia"/>
              <w:noProof/>
              <w:lang w:eastAsia="en-GB"/>
            </w:rPr>
          </w:pPr>
          <w:r w:rsidRPr="00B43210">
            <w:rPr>
              <w:rFonts w:ascii="Arial" w:eastAsia="Times New Roman" w:hAnsi="Arial" w:cs="Times New Roman"/>
              <w:sz w:val="24"/>
              <w:szCs w:val="20"/>
              <w:lang w:eastAsia="en-GB"/>
            </w:rPr>
            <w:fldChar w:fldCharType="begin"/>
          </w:r>
          <w:r w:rsidRPr="00B43210">
            <w:rPr>
              <w:rFonts w:ascii="Arial" w:eastAsia="Times New Roman" w:hAnsi="Arial" w:cs="Times New Roman"/>
              <w:sz w:val="24"/>
              <w:szCs w:val="20"/>
              <w:lang w:eastAsia="en-GB"/>
            </w:rPr>
            <w:instrText xml:space="preserve"> TOC \o "1-3" \h \z \u </w:instrText>
          </w:r>
          <w:r w:rsidRPr="00B43210">
            <w:rPr>
              <w:rFonts w:ascii="Arial" w:eastAsia="Times New Roman" w:hAnsi="Arial" w:cs="Times New Roman"/>
              <w:sz w:val="24"/>
              <w:szCs w:val="20"/>
              <w:lang w:eastAsia="en-GB"/>
            </w:rPr>
            <w:fldChar w:fldCharType="separate"/>
          </w:r>
          <w:hyperlink w:anchor="_Toc112322166" w:history="1">
            <w:r w:rsidRPr="00B43210">
              <w:rPr>
                <w:rFonts w:ascii="Arial" w:eastAsiaTheme="majorEastAsia" w:hAnsi="Arial" w:cs="Arial"/>
                <w:noProof/>
                <w:color w:val="0563C1" w:themeColor="hyperlink"/>
                <w:sz w:val="24"/>
                <w:szCs w:val="20"/>
                <w:u w:val="single"/>
              </w:rPr>
              <w:t>1.</w:t>
            </w:r>
            <w:r w:rsidRPr="00B43210">
              <w:rPr>
                <w:rFonts w:eastAsiaTheme="minorEastAsia"/>
                <w:noProof/>
                <w:lang w:eastAsia="en-GB"/>
              </w:rPr>
              <w:tab/>
            </w:r>
            <w:r w:rsidRPr="00B43210">
              <w:rPr>
                <w:rFonts w:ascii="Arial" w:eastAsiaTheme="majorEastAsia" w:hAnsi="Arial" w:cs="Arial"/>
                <w:noProof/>
                <w:color w:val="0563C1" w:themeColor="hyperlink"/>
                <w:sz w:val="24"/>
                <w:szCs w:val="20"/>
                <w:u w:val="single"/>
              </w:rPr>
              <w:t>Introduction</w:t>
            </w:r>
            <w:r w:rsidRPr="00B43210">
              <w:rPr>
                <w:rFonts w:ascii="Arial" w:eastAsia="Times New Roman" w:hAnsi="Arial" w:cs="Times New Roman"/>
                <w:noProof/>
                <w:webHidden/>
                <w:sz w:val="24"/>
                <w:szCs w:val="20"/>
                <w:lang w:eastAsia="en-GB"/>
              </w:rPr>
              <w:tab/>
            </w:r>
            <w:r w:rsidRPr="00B43210">
              <w:rPr>
                <w:rFonts w:ascii="Arial" w:eastAsia="Times New Roman" w:hAnsi="Arial" w:cs="Times New Roman"/>
                <w:noProof/>
                <w:webHidden/>
                <w:sz w:val="24"/>
                <w:szCs w:val="20"/>
                <w:lang w:eastAsia="en-GB"/>
              </w:rPr>
              <w:fldChar w:fldCharType="begin"/>
            </w:r>
            <w:r w:rsidRPr="00B43210">
              <w:rPr>
                <w:rFonts w:ascii="Arial" w:eastAsia="Times New Roman" w:hAnsi="Arial" w:cs="Times New Roman"/>
                <w:noProof/>
                <w:webHidden/>
                <w:sz w:val="24"/>
                <w:szCs w:val="20"/>
                <w:lang w:eastAsia="en-GB"/>
              </w:rPr>
              <w:instrText xml:space="preserve"> PAGEREF _Toc112322166 \h </w:instrText>
            </w:r>
            <w:r w:rsidRPr="00B43210">
              <w:rPr>
                <w:rFonts w:ascii="Arial" w:eastAsia="Times New Roman" w:hAnsi="Arial" w:cs="Times New Roman"/>
                <w:noProof/>
                <w:webHidden/>
                <w:sz w:val="24"/>
                <w:szCs w:val="20"/>
                <w:lang w:eastAsia="en-GB"/>
              </w:rPr>
            </w:r>
            <w:r w:rsidRPr="00B43210">
              <w:rPr>
                <w:rFonts w:ascii="Arial" w:eastAsia="Times New Roman" w:hAnsi="Arial" w:cs="Times New Roman"/>
                <w:noProof/>
                <w:webHidden/>
                <w:sz w:val="24"/>
                <w:szCs w:val="20"/>
                <w:lang w:eastAsia="en-GB"/>
              </w:rPr>
              <w:fldChar w:fldCharType="separate"/>
            </w:r>
            <w:r w:rsidRPr="00B43210">
              <w:rPr>
                <w:rFonts w:ascii="Arial" w:eastAsia="Times New Roman" w:hAnsi="Arial" w:cs="Times New Roman"/>
                <w:noProof/>
                <w:webHidden/>
                <w:sz w:val="24"/>
                <w:szCs w:val="20"/>
                <w:lang w:eastAsia="en-GB"/>
              </w:rPr>
              <w:t>3</w:t>
            </w:r>
            <w:r w:rsidRPr="00B43210">
              <w:rPr>
                <w:rFonts w:ascii="Arial" w:eastAsia="Times New Roman" w:hAnsi="Arial" w:cs="Times New Roman"/>
                <w:noProof/>
                <w:webHidden/>
                <w:sz w:val="24"/>
                <w:szCs w:val="20"/>
                <w:lang w:eastAsia="en-GB"/>
              </w:rPr>
              <w:fldChar w:fldCharType="end"/>
            </w:r>
          </w:hyperlink>
        </w:p>
        <w:p w14:paraId="2F2066F0" w14:textId="77777777" w:rsidR="00B43210" w:rsidRPr="00B43210" w:rsidRDefault="00F05F80" w:rsidP="00B43210">
          <w:pPr>
            <w:tabs>
              <w:tab w:val="left" w:pos="440"/>
              <w:tab w:val="right" w:leader="dot" w:pos="9038"/>
            </w:tabs>
            <w:spacing w:after="100" w:line="240" w:lineRule="auto"/>
            <w:rPr>
              <w:rFonts w:eastAsiaTheme="minorEastAsia"/>
              <w:noProof/>
              <w:lang w:eastAsia="en-GB"/>
            </w:rPr>
          </w:pPr>
          <w:hyperlink w:anchor="_Toc112322167" w:history="1">
            <w:r w:rsidR="00B43210" w:rsidRPr="00B43210">
              <w:rPr>
                <w:rFonts w:ascii="Arial" w:eastAsiaTheme="majorEastAsia" w:hAnsi="Arial" w:cs="Arial"/>
                <w:noProof/>
                <w:color w:val="0563C1" w:themeColor="hyperlink"/>
                <w:sz w:val="24"/>
                <w:szCs w:val="20"/>
                <w:u w:val="single"/>
              </w:rPr>
              <w:t>2.</w:t>
            </w:r>
            <w:r w:rsidR="00B43210" w:rsidRPr="00B43210">
              <w:rPr>
                <w:rFonts w:eastAsiaTheme="minorEastAsia"/>
                <w:noProof/>
                <w:lang w:eastAsia="en-GB"/>
              </w:rPr>
              <w:tab/>
            </w:r>
            <w:r w:rsidR="00B43210" w:rsidRPr="00B43210">
              <w:rPr>
                <w:rFonts w:ascii="Arial" w:eastAsiaTheme="majorEastAsia" w:hAnsi="Arial" w:cs="Arial"/>
                <w:noProof/>
                <w:color w:val="0563C1" w:themeColor="hyperlink"/>
                <w:sz w:val="24"/>
                <w:szCs w:val="20"/>
                <w:u w:val="single"/>
              </w:rPr>
              <w:t>Strategy objectives</w:t>
            </w:r>
            <w:r w:rsidR="00B43210" w:rsidRPr="00B43210">
              <w:rPr>
                <w:rFonts w:ascii="Arial" w:eastAsia="Times New Roman" w:hAnsi="Arial" w:cs="Times New Roman"/>
                <w:noProof/>
                <w:webHidden/>
                <w:sz w:val="24"/>
                <w:szCs w:val="20"/>
                <w:lang w:eastAsia="en-GB"/>
              </w:rPr>
              <w:tab/>
            </w:r>
            <w:r w:rsidR="00B43210" w:rsidRPr="00B43210">
              <w:rPr>
                <w:rFonts w:ascii="Arial" w:eastAsia="Times New Roman" w:hAnsi="Arial" w:cs="Times New Roman"/>
                <w:noProof/>
                <w:webHidden/>
                <w:sz w:val="24"/>
                <w:szCs w:val="20"/>
                <w:lang w:eastAsia="en-GB"/>
              </w:rPr>
              <w:fldChar w:fldCharType="begin"/>
            </w:r>
            <w:r w:rsidR="00B43210" w:rsidRPr="00B43210">
              <w:rPr>
                <w:rFonts w:ascii="Arial" w:eastAsia="Times New Roman" w:hAnsi="Arial" w:cs="Times New Roman"/>
                <w:noProof/>
                <w:webHidden/>
                <w:sz w:val="24"/>
                <w:szCs w:val="20"/>
                <w:lang w:eastAsia="en-GB"/>
              </w:rPr>
              <w:instrText xml:space="preserve"> PAGEREF _Toc112322167 \h </w:instrText>
            </w:r>
            <w:r w:rsidR="00B43210" w:rsidRPr="00B43210">
              <w:rPr>
                <w:rFonts w:ascii="Arial" w:eastAsia="Times New Roman" w:hAnsi="Arial" w:cs="Times New Roman"/>
                <w:noProof/>
                <w:webHidden/>
                <w:sz w:val="24"/>
                <w:szCs w:val="20"/>
                <w:lang w:eastAsia="en-GB"/>
              </w:rPr>
            </w:r>
            <w:r w:rsidR="00B43210" w:rsidRPr="00B43210">
              <w:rPr>
                <w:rFonts w:ascii="Arial" w:eastAsia="Times New Roman" w:hAnsi="Arial" w:cs="Times New Roman"/>
                <w:noProof/>
                <w:webHidden/>
                <w:sz w:val="24"/>
                <w:szCs w:val="20"/>
                <w:lang w:eastAsia="en-GB"/>
              </w:rPr>
              <w:fldChar w:fldCharType="separate"/>
            </w:r>
            <w:r w:rsidR="00B43210" w:rsidRPr="00B43210">
              <w:rPr>
                <w:rFonts w:ascii="Arial" w:eastAsia="Times New Roman" w:hAnsi="Arial" w:cs="Times New Roman"/>
                <w:noProof/>
                <w:webHidden/>
                <w:sz w:val="24"/>
                <w:szCs w:val="20"/>
                <w:lang w:eastAsia="en-GB"/>
              </w:rPr>
              <w:t>3</w:t>
            </w:r>
            <w:r w:rsidR="00B43210" w:rsidRPr="00B43210">
              <w:rPr>
                <w:rFonts w:ascii="Arial" w:eastAsia="Times New Roman" w:hAnsi="Arial" w:cs="Times New Roman"/>
                <w:noProof/>
                <w:webHidden/>
                <w:sz w:val="24"/>
                <w:szCs w:val="20"/>
                <w:lang w:eastAsia="en-GB"/>
              </w:rPr>
              <w:fldChar w:fldCharType="end"/>
            </w:r>
          </w:hyperlink>
        </w:p>
        <w:p w14:paraId="0919E0E7" w14:textId="77777777" w:rsidR="00B43210" w:rsidRPr="00B43210" w:rsidRDefault="00F05F80" w:rsidP="00B43210">
          <w:pPr>
            <w:tabs>
              <w:tab w:val="left" w:pos="440"/>
              <w:tab w:val="right" w:leader="dot" w:pos="9038"/>
            </w:tabs>
            <w:spacing w:after="100" w:line="240" w:lineRule="auto"/>
            <w:rPr>
              <w:rFonts w:eastAsiaTheme="minorEastAsia"/>
              <w:noProof/>
              <w:lang w:eastAsia="en-GB"/>
            </w:rPr>
          </w:pPr>
          <w:hyperlink w:anchor="_Toc112322168" w:history="1">
            <w:r w:rsidR="00B43210" w:rsidRPr="00B43210">
              <w:rPr>
                <w:rFonts w:ascii="Arial" w:eastAsiaTheme="majorEastAsia" w:hAnsi="Arial" w:cs="Arial"/>
                <w:noProof/>
                <w:color w:val="0563C1" w:themeColor="hyperlink"/>
                <w:sz w:val="24"/>
                <w:szCs w:val="20"/>
                <w:u w:val="single"/>
              </w:rPr>
              <w:t>3.</w:t>
            </w:r>
            <w:r w:rsidR="00B43210" w:rsidRPr="00B43210">
              <w:rPr>
                <w:rFonts w:eastAsiaTheme="minorEastAsia"/>
                <w:noProof/>
                <w:lang w:eastAsia="en-GB"/>
              </w:rPr>
              <w:tab/>
            </w:r>
            <w:r w:rsidR="00B43210" w:rsidRPr="00B43210">
              <w:rPr>
                <w:rFonts w:ascii="Arial" w:eastAsiaTheme="majorEastAsia" w:hAnsi="Arial" w:cs="Arial"/>
                <w:noProof/>
                <w:color w:val="0563C1" w:themeColor="hyperlink"/>
                <w:sz w:val="24"/>
                <w:szCs w:val="20"/>
                <w:u w:val="single"/>
              </w:rPr>
              <w:t>Purpose of the strategy</w:t>
            </w:r>
            <w:r w:rsidR="00B43210" w:rsidRPr="00B43210">
              <w:rPr>
                <w:rFonts w:ascii="Arial" w:eastAsia="Times New Roman" w:hAnsi="Arial" w:cs="Times New Roman"/>
                <w:noProof/>
                <w:webHidden/>
                <w:sz w:val="24"/>
                <w:szCs w:val="20"/>
                <w:lang w:eastAsia="en-GB"/>
              </w:rPr>
              <w:tab/>
            </w:r>
            <w:r w:rsidR="00B43210" w:rsidRPr="00B43210">
              <w:rPr>
                <w:rFonts w:ascii="Arial" w:eastAsia="Times New Roman" w:hAnsi="Arial" w:cs="Times New Roman"/>
                <w:noProof/>
                <w:webHidden/>
                <w:sz w:val="24"/>
                <w:szCs w:val="20"/>
                <w:lang w:eastAsia="en-GB"/>
              </w:rPr>
              <w:fldChar w:fldCharType="begin"/>
            </w:r>
            <w:r w:rsidR="00B43210" w:rsidRPr="00B43210">
              <w:rPr>
                <w:rFonts w:ascii="Arial" w:eastAsia="Times New Roman" w:hAnsi="Arial" w:cs="Times New Roman"/>
                <w:noProof/>
                <w:webHidden/>
                <w:sz w:val="24"/>
                <w:szCs w:val="20"/>
                <w:lang w:eastAsia="en-GB"/>
              </w:rPr>
              <w:instrText xml:space="preserve"> PAGEREF _Toc112322168 \h </w:instrText>
            </w:r>
            <w:r w:rsidR="00B43210" w:rsidRPr="00B43210">
              <w:rPr>
                <w:rFonts w:ascii="Arial" w:eastAsia="Times New Roman" w:hAnsi="Arial" w:cs="Times New Roman"/>
                <w:noProof/>
                <w:webHidden/>
                <w:sz w:val="24"/>
                <w:szCs w:val="20"/>
                <w:lang w:eastAsia="en-GB"/>
              </w:rPr>
            </w:r>
            <w:r w:rsidR="00B43210" w:rsidRPr="00B43210">
              <w:rPr>
                <w:rFonts w:ascii="Arial" w:eastAsia="Times New Roman" w:hAnsi="Arial" w:cs="Times New Roman"/>
                <w:noProof/>
                <w:webHidden/>
                <w:sz w:val="24"/>
                <w:szCs w:val="20"/>
                <w:lang w:eastAsia="en-GB"/>
              </w:rPr>
              <w:fldChar w:fldCharType="separate"/>
            </w:r>
            <w:r w:rsidR="00B43210" w:rsidRPr="00B43210">
              <w:rPr>
                <w:rFonts w:ascii="Arial" w:eastAsia="Times New Roman" w:hAnsi="Arial" w:cs="Times New Roman"/>
                <w:noProof/>
                <w:webHidden/>
                <w:sz w:val="24"/>
                <w:szCs w:val="20"/>
                <w:lang w:eastAsia="en-GB"/>
              </w:rPr>
              <w:t>3</w:t>
            </w:r>
            <w:r w:rsidR="00B43210" w:rsidRPr="00B43210">
              <w:rPr>
                <w:rFonts w:ascii="Arial" w:eastAsia="Times New Roman" w:hAnsi="Arial" w:cs="Times New Roman"/>
                <w:noProof/>
                <w:webHidden/>
                <w:sz w:val="24"/>
                <w:szCs w:val="20"/>
                <w:lang w:eastAsia="en-GB"/>
              </w:rPr>
              <w:fldChar w:fldCharType="end"/>
            </w:r>
          </w:hyperlink>
        </w:p>
        <w:p w14:paraId="40D5BDFB" w14:textId="77777777" w:rsidR="00B43210" w:rsidRPr="00B43210" w:rsidRDefault="00F05F80" w:rsidP="00B43210">
          <w:pPr>
            <w:tabs>
              <w:tab w:val="left" w:pos="440"/>
              <w:tab w:val="right" w:leader="dot" w:pos="9038"/>
            </w:tabs>
            <w:spacing w:after="100" w:line="240" w:lineRule="auto"/>
            <w:rPr>
              <w:rFonts w:eastAsiaTheme="minorEastAsia"/>
              <w:noProof/>
              <w:lang w:eastAsia="en-GB"/>
            </w:rPr>
          </w:pPr>
          <w:hyperlink w:anchor="_Toc112322169" w:history="1">
            <w:r w:rsidR="00B43210" w:rsidRPr="00B43210">
              <w:rPr>
                <w:rFonts w:ascii="Arial" w:eastAsiaTheme="majorEastAsia" w:hAnsi="Arial" w:cs="Arial"/>
                <w:noProof/>
                <w:color w:val="0563C1" w:themeColor="hyperlink"/>
                <w:sz w:val="24"/>
                <w:szCs w:val="20"/>
                <w:u w:val="single"/>
              </w:rPr>
              <w:t>4.</w:t>
            </w:r>
            <w:r w:rsidR="00B43210" w:rsidRPr="00B43210">
              <w:rPr>
                <w:rFonts w:eastAsiaTheme="minorEastAsia"/>
                <w:noProof/>
                <w:lang w:eastAsia="en-GB"/>
              </w:rPr>
              <w:tab/>
            </w:r>
            <w:r w:rsidR="00B43210" w:rsidRPr="00B43210">
              <w:rPr>
                <w:rFonts w:ascii="Arial" w:eastAsiaTheme="majorEastAsia" w:hAnsi="Arial" w:cs="Arial"/>
                <w:noProof/>
                <w:color w:val="0563C1" w:themeColor="hyperlink"/>
                <w:sz w:val="24"/>
                <w:szCs w:val="20"/>
                <w:u w:val="single"/>
              </w:rPr>
              <w:t>Effective date</w:t>
            </w:r>
            <w:r w:rsidR="00B43210" w:rsidRPr="00B43210">
              <w:rPr>
                <w:rFonts w:ascii="Arial" w:eastAsia="Times New Roman" w:hAnsi="Arial" w:cs="Times New Roman"/>
                <w:noProof/>
                <w:webHidden/>
                <w:sz w:val="24"/>
                <w:szCs w:val="20"/>
                <w:lang w:eastAsia="en-GB"/>
              </w:rPr>
              <w:tab/>
            </w:r>
            <w:r w:rsidR="00B43210" w:rsidRPr="00B43210">
              <w:rPr>
                <w:rFonts w:ascii="Arial" w:eastAsia="Times New Roman" w:hAnsi="Arial" w:cs="Times New Roman"/>
                <w:noProof/>
                <w:webHidden/>
                <w:sz w:val="24"/>
                <w:szCs w:val="20"/>
                <w:lang w:eastAsia="en-GB"/>
              </w:rPr>
              <w:fldChar w:fldCharType="begin"/>
            </w:r>
            <w:r w:rsidR="00B43210" w:rsidRPr="00B43210">
              <w:rPr>
                <w:rFonts w:ascii="Arial" w:eastAsia="Times New Roman" w:hAnsi="Arial" w:cs="Times New Roman"/>
                <w:noProof/>
                <w:webHidden/>
                <w:sz w:val="24"/>
                <w:szCs w:val="20"/>
                <w:lang w:eastAsia="en-GB"/>
              </w:rPr>
              <w:instrText xml:space="preserve"> PAGEREF _Toc112322169 \h </w:instrText>
            </w:r>
            <w:r w:rsidR="00B43210" w:rsidRPr="00B43210">
              <w:rPr>
                <w:rFonts w:ascii="Arial" w:eastAsia="Times New Roman" w:hAnsi="Arial" w:cs="Times New Roman"/>
                <w:noProof/>
                <w:webHidden/>
                <w:sz w:val="24"/>
                <w:szCs w:val="20"/>
                <w:lang w:eastAsia="en-GB"/>
              </w:rPr>
            </w:r>
            <w:r w:rsidR="00B43210" w:rsidRPr="00B43210">
              <w:rPr>
                <w:rFonts w:ascii="Arial" w:eastAsia="Times New Roman" w:hAnsi="Arial" w:cs="Times New Roman"/>
                <w:noProof/>
                <w:webHidden/>
                <w:sz w:val="24"/>
                <w:szCs w:val="20"/>
                <w:lang w:eastAsia="en-GB"/>
              </w:rPr>
              <w:fldChar w:fldCharType="separate"/>
            </w:r>
            <w:r w:rsidR="00B43210" w:rsidRPr="00B43210">
              <w:rPr>
                <w:rFonts w:ascii="Arial" w:eastAsia="Times New Roman" w:hAnsi="Arial" w:cs="Times New Roman"/>
                <w:noProof/>
                <w:webHidden/>
                <w:sz w:val="24"/>
                <w:szCs w:val="20"/>
                <w:lang w:eastAsia="en-GB"/>
              </w:rPr>
              <w:t>4</w:t>
            </w:r>
            <w:r w:rsidR="00B43210" w:rsidRPr="00B43210">
              <w:rPr>
                <w:rFonts w:ascii="Arial" w:eastAsia="Times New Roman" w:hAnsi="Arial" w:cs="Times New Roman"/>
                <w:noProof/>
                <w:webHidden/>
                <w:sz w:val="24"/>
                <w:szCs w:val="20"/>
                <w:lang w:eastAsia="en-GB"/>
              </w:rPr>
              <w:fldChar w:fldCharType="end"/>
            </w:r>
          </w:hyperlink>
        </w:p>
        <w:p w14:paraId="62E62BA2" w14:textId="77777777" w:rsidR="00B43210" w:rsidRPr="00B43210" w:rsidRDefault="00F05F80" w:rsidP="00B43210">
          <w:pPr>
            <w:tabs>
              <w:tab w:val="left" w:pos="440"/>
              <w:tab w:val="right" w:leader="dot" w:pos="9038"/>
            </w:tabs>
            <w:spacing w:after="100" w:line="240" w:lineRule="auto"/>
            <w:rPr>
              <w:rFonts w:eastAsiaTheme="minorEastAsia"/>
              <w:noProof/>
              <w:lang w:eastAsia="en-GB"/>
            </w:rPr>
          </w:pPr>
          <w:hyperlink w:anchor="_Toc112322170" w:history="1">
            <w:r w:rsidR="00B43210" w:rsidRPr="00B43210">
              <w:rPr>
                <w:rFonts w:ascii="Arial" w:eastAsiaTheme="majorEastAsia" w:hAnsi="Arial" w:cs="Arial"/>
                <w:noProof/>
                <w:color w:val="0563C1" w:themeColor="hyperlink"/>
                <w:sz w:val="24"/>
                <w:szCs w:val="20"/>
                <w:u w:val="single"/>
              </w:rPr>
              <w:t>5.</w:t>
            </w:r>
            <w:r w:rsidR="00B43210" w:rsidRPr="00B43210">
              <w:rPr>
                <w:rFonts w:eastAsiaTheme="minorEastAsia"/>
                <w:noProof/>
                <w:lang w:eastAsia="en-GB"/>
              </w:rPr>
              <w:tab/>
            </w:r>
            <w:r w:rsidR="00B43210" w:rsidRPr="00B43210">
              <w:rPr>
                <w:rFonts w:ascii="Arial" w:eastAsiaTheme="majorEastAsia" w:hAnsi="Arial" w:cs="Arial"/>
                <w:noProof/>
                <w:color w:val="0563C1" w:themeColor="hyperlink"/>
                <w:sz w:val="24"/>
                <w:szCs w:val="20"/>
                <w:u w:val="single"/>
              </w:rPr>
              <w:t>Review</w:t>
            </w:r>
            <w:r w:rsidR="00B43210" w:rsidRPr="00B43210">
              <w:rPr>
                <w:rFonts w:ascii="Arial" w:eastAsia="Times New Roman" w:hAnsi="Arial" w:cs="Times New Roman"/>
                <w:noProof/>
                <w:webHidden/>
                <w:sz w:val="24"/>
                <w:szCs w:val="20"/>
                <w:lang w:eastAsia="en-GB"/>
              </w:rPr>
              <w:tab/>
            </w:r>
            <w:r w:rsidR="00B43210" w:rsidRPr="00B43210">
              <w:rPr>
                <w:rFonts w:ascii="Arial" w:eastAsia="Times New Roman" w:hAnsi="Arial" w:cs="Times New Roman"/>
                <w:noProof/>
                <w:webHidden/>
                <w:sz w:val="24"/>
                <w:szCs w:val="20"/>
                <w:lang w:eastAsia="en-GB"/>
              </w:rPr>
              <w:fldChar w:fldCharType="begin"/>
            </w:r>
            <w:r w:rsidR="00B43210" w:rsidRPr="00B43210">
              <w:rPr>
                <w:rFonts w:ascii="Arial" w:eastAsia="Times New Roman" w:hAnsi="Arial" w:cs="Times New Roman"/>
                <w:noProof/>
                <w:webHidden/>
                <w:sz w:val="24"/>
                <w:szCs w:val="20"/>
                <w:lang w:eastAsia="en-GB"/>
              </w:rPr>
              <w:instrText xml:space="preserve"> PAGEREF _Toc112322170 \h </w:instrText>
            </w:r>
            <w:r w:rsidR="00B43210" w:rsidRPr="00B43210">
              <w:rPr>
                <w:rFonts w:ascii="Arial" w:eastAsia="Times New Roman" w:hAnsi="Arial" w:cs="Times New Roman"/>
                <w:noProof/>
                <w:webHidden/>
                <w:sz w:val="24"/>
                <w:szCs w:val="20"/>
                <w:lang w:eastAsia="en-GB"/>
              </w:rPr>
            </w:r>
            <w:r w:rsidR="00B43210" w:rsidRPr="00B43210">
              <w:rPr>
                <w:rFonts w:ascii="Arial" w:eastAsia="Times New Roman" w:hAnsi="Arial" w:cs="Times New Roman"/>
                <w:noProof/>
                <w:webHidden/>
                <w:sz w:val="24"/>
                <w:szCs w:val="20"/>
                <w:lang w:eastAsia="en-GB"/>
              </w:rPr>
              <w:fldChar w:fldCharType="separate"/>
            </w:r>
            <w:r w:rsidR="00B43210" w:rsidRPr="00B43210">
              <w:rPr>
                <w:rFonts w:ascii="Arial" w:eastAsia="Times New Roman" w:hAnsi="Arial" w:cs="Times New Roman"/>
                <w:noProof/>
                <w:webHidden/>
                <w:sz w:val="24"/>
                <w:szCs w:val="20"/>
                <w:lang w:eastAsia="en-GB"/>
              </w:rPr>
              <w:t>4</w:t>
            </w:r>
            <w:r w:rsidR="00B43210" w:rsidRPr="00B43210">
              <w:rPr>
                <w:rFonts w:ascii="Arial" w:eastAsia="Times New Roman" w:hAnsi="Arial" w:cs="Times New Roman"/>
                <w:noProof/>
                <w:webHidden/>
                <w:sz w:val="24"/>
                <w:szCs w:val="20"/>
                <w:lang w:eastAsia="en-GB"/>
              </w:rPr>
              <w:fldChar w:fldCharType="end"/>
            </w:r>
          </w:hyperlink>
        </w:p>
        <w:p w14:paraId="3324E3CF" w14:textId="77777777" w:rsidR="00B43210" w:rsidRPr="00B43210" w:rsidRDefault="00F05F80" w:rsidP="00B43210">
          <w:pPr>
            <w:tabs>
              <w:tab w:val="left" w:pos="440"/>
              <w:tab w:val="right" w:leader="dot" w:pos="9038"/>
            </w:tabs>
            <w:spacing w:after="100" w:line="240" w:lineRule="auto"/>
            <w:rPr>
              <w:rFonts w:eastAsiaTheme="minorEastAsia"/>
              <w:noProof/>
              <w:lang w:eastAsia="en-GB"/>
            </w:rPr>
          </w:pPr>
          <w:hyperlink w:anchor="_Toc112322171" w:history="1">
            <w:r w:rsidR="00B43210" w:rsidRPr="00B43210">
              <w:rPr>
                <w:rFonts w:ascii="Arial" w:eastAsiaTheme="majorEastAsia" w:hAnsi="Arial" w:cs="Arial"/>
                <w:noProof/>
                <w:color w:val="0563C1" w:themeColor="hyperlink"/>
                <w:sz w:val="24"/>
                <w:szCs w:val="20"/>
                <w:u w:val="single"/>
              </w:rPr>
              <w:t>6.</w:t>
            </w:r>
            <w:r w:rsidR="00B43210" w:rsidRPr="00B43210">
              <w:rPr>
                <w:rFonts w:eastAsiaTheme="minorEastAsia"/>
                <w:noProof/>
                <w:lang w:eastAsia="en-GB"/>
              </w:rPr>
              <w:tab/>
            </w:r>
            <w:r w:rsidR="00B43210" w:rsidRPr="00B43210">
              <w:rPr>
                <w:rFonts w:ascii="Arial" w:eastAsiaTheme="majorEastAsia" w:hAnsi="Arial" w:cs="Arial"/>
                <w:noProof/>
                <w:color w:val="0563C1" w:themeColor="hyperlink"/>
                <w:sz w:val="24"/>
                <w:szCs w:val="20"/>
                <w:u w:val="single"/>
              </w:rPr>
              <w:t>Scope</w:t>
            </w:r>
            <w:r w:rsidR="00B43210" w:rsidRPr="00B43210">
              <w:rPr>
                <w:rFonts w:ascii="Arial" w:eastAsia="Times New Roman" w:hAnsi="Arial" w:cs="Times New Roman"/>
                <w:noProof/>
                <w:webHidden/>
                <w:sz w:val="24"/>
                <w:szCs w:val="20"/>
                <w:lang w:eastAsia="en-GB"/>
              </w:rPr>
              <w:tab/>
            </w:r>
            <w:r w:rsidR="00B43210" w:rsidRPr="00B43210">
              <w:rPr>
                <w:rFonts w:ascii="Arial" w:eastAsia="Times New Roman" w:hAnsi="Arial" w:cs="Times New Roman"/>
                <w:noProof/>
                <w:webHidden/>
                <w:sz w:val="24"/>
                <w:szCs w:val="20"/>
                <w:lang w:eastAsia="en-GB"/>
              </w:rPr>
              <w:fldChar w:fldCharType="begin"/>
            </w:r>
            <w:r w:rsidR="00B43210" w:rsidRPr="00B43210">
              <w:rPr>
                <w:rFonts w:ascii="Arial" w:eastAsia="Times New Roman" w:hAnsi="Arial" w:cs="Times New Roman"/>
                <w:noProof/>
                <w:webHidden/>
                <w:sz w:val="24"/>
                <w:szCs w:val="20"/>
                <w:lang w:eastAsia="en-GB"/>
              </w:rPr>
              <w:instrText xml:space="preserve"> PAGEREF _Toc112322171 \h </w:instrText>
            </w:r>
            <w:r w:rsidR="00B43210" w:rsidRPr="00B43210">
              <w:rPr>
                <w:rFonts w:ascii="Arial" w:eastAsia="Times New Roman" w:hAnsi="Arial" w:cs="Times New Roman"/>
                <w:noProof/>
                <w:webHidden/>
                <w:sz w:val="24"/>
                <w:szCs w:val="20"/>
                <w:lang w:eastAsia="en-GB"/>
              </w:rPr>
            </w:r>
            <w:r w:rsidR="00B43210" w:rsidRPr="00B43210">
              <w:rPr>
                <w:rFonts w:ascii="Arial" w:eastAsia="Times New Roman" w:hAnsi="Arial" w:cs="Times New Roman"/>
                <w:noProof/>
                <w:webHidden/>
                <w:sz w:val="24"/>
                <w:szCs w:val="20"/>
                <w:lang w:eastAsia="en-GB"/>
              </w:rPr>
              <w:fldChar w:fldCharType="separate"/>
            </w:r>
            <w:r w:rsidR="00B43210" w:rsidRPr="00B43210">
              <w:rPr>
                <w:rFonts w:ascii="Arial" w:eastAsia="Times New Roman" w:hAnsi="Arial" w:cs="Times New Roman"/>
                <w:noProof/>
                <w:webHidden/>
                <w:sz w:val="24"/>
                <w:szCs w:val="20"/>
                <w:lang w:eastAsia="en-GB"/>
              </w:rPr>
              <w:t>4</w:t>
            </w:r>
            <w:r w:rsidR="00B43210" w:rsidRPr="00B43210">
              <w:rPr>
                <w:rFonts w:ascii="Arial" w:eastAsia="Times New Roman" w:hAnsi="Arial" w:cs="Times New Roman"/>
                <w:noProof/>
                <w:webHidden/>
                <w:sz w:val="24"/>
                <w:szCs w:val="20"/>
                <w:lang w:eastAsia="en-GB"/>
              </w:rPr>
              <w:fldChar w:fldCharType="end"/>
            </w:r>
          </w:hyperlink>
        </w:p>
        <w:p w14:paraId="29443CA4" w14:textId="77777777" w:rsidR="00B43210" w:rsidRPr="00B43210" w:rsidRDefault="00F05F80" w:rsidP="00B43210">
          <w:pPr>
            <w:tabs>
              <w:tab w:val="left" w:pos="440"/>
              <w:tab w:val="right" w:leader="dot" w:pos="9038"/>
            </w:tabs>
            <w:spacing w:after="100" w:line="240" w:lineRule="auto"/>
            <w:rPr>
              <w:rFonts w:eastAsiaTheme="minorEastAsia"/>
              <w:noProof/>
              <w:lang w:eastAsia="en-GB"/>
            </w:rPr>
          </w:pPr>
          <w:hyperlink w:anchor="_Toc112322172" w:history="1">
            <w:r w:rsidR="00B43210" w:rsidRPr="00B43210">
              <w:rPr>
                <w:rFonts w:ascii="Arial" w:eastAsiaTheme="majorEastAsia" w:hAnsi="Arial" w:cs="Arial"/>
                <w:noProof/>
                <w:color w:val="0563C1" w:themeColor="hyperlink"/>
                <w:sz w:val="24"/>
                <w:szCs w:val="20"/>
                <w:u w:val="single"/>
              </w:rPr>
              <w:t>7.</w:t>
            </w:r>
            <w:r w:rsidR="00B43210" w:rsidRPr="00B43210">
              <w:rPr>
                <w:rFonts w:eastAsiaTheme="minorEastAsia"/>
                <w:noProof/>
                <w:lang w:eastAsia="en-GB"/>
              </w:rPr>
              <w:tab/>
            </w:r>
            <w:r w:rsidR="00B43210" w:rsidRPr="00B43210">
              <w:rPr>
                <w:rFonts w:ascii="Arial" w:eastAsiaTheme="majorEastAsia" w:hAnsi="Arial" w:cs="Arial"/>
                <w:noProof/>
                <w:color w:val="0563C1" w:themeColor="hyperlink"/>
                <w:sz w:val="24"/>
                <w:szCs w:val="20"/>
                <w:u w:val="single"/>
              </w:rPr>
              <w:t>Risk Management Philosophy</w:t>
            </w:r>
            <w:r w:rsidR="00B43210" w:rsidRPr="00B43210">
              <w:rPr>
                <w:rFonts w:ascii="Arial" w:eastAsia="Times New Roman" w:hAnsi="Arial" w:cs="Times New Roman"/>
                <w:noProof/>
                <w:webHidden/>
                <w:sz w:val="24"/>
                <w:szCs w:val="20"/>
                <w:lang w:eastAsia="en-GB"/>
              </w:rPr>
              <w:tab/>
            </w:r>
            <w:r w:rsidR="00B43210" w:rsidRPr="00B43210">
              <w:rPr>
                <w:rFonts w:ascii="Arial" w:eastAsia="Times New Roman" w:hAnsi="Arial" w:cs="Times New Roman"/>
                <w:noProof/>
                <w:webHidden/>
                <w:sz w:val="24"/>
                <w:szCs w:val="20"/>
                <w:lang w:eastAsia="en-GB"/>
              </w:rPr>
              <w:fldChar w:fldCharType="begin"/>
            </w:r>
            <w:r w:rsidR="00B43210" w:rsidRPr="00B43210">
              <w:rPr>
                <w:rFonts w:ascii="Arial" w:eastAsia="Times New Roman" w:hAnsi="Arial" w:cs="Times New Roman"/>
                <w:noProof/>
                <w:webHidden/>
                <w:sz w:val="24"/>
                <w:szCs w:val="20"/>
                <w:lang w:eastAsia="en-GB"/>
              </w:rPr>
              <w:instrText xml:space="preserve"> PAGEREF _Toc112322172 \h </w:instrText>
            </w:r>
            <w:r w:rsidR="00B43210" w:rsidRPr="00B43210">
              <w:rPr>
                <w:rFonts w:ascii="Arial" w:eastAsia="Times New Roman" w:hAnsi="Arial" w:cs="Times New Roman"/>
                <w:noProof/>
                <w:webHidden/>
                <w:sz w:val="24"/>
                <w:szCs w:val="20"/>
                <w:lang w:eastAsia="en-GB"/>
              </w:rPr>
            </w:r>
            <w:r w:rsidR="00B43210" w:rsidRPr="00B43210">
              <w:rPr>
                <w:rFonts w:ascii="Arial" w:eastAsia="Times New Roman" w:hAnsi="Arial" w:cs="Times New Roman"/>
                <w:noProof/>
                <w:webHidden/>
                <w:sz w:val="24"/>
                <w:szCs w:val="20"/>
                <w:lang w:eastAsia="en-GB"/>
              </w:rPr>
              <w:fldChar w:fldCharType="separate"/>
            </w:r>
            <w:r w:rsidR="00B43210" w:rsidRPr="00B43210">
              <w:rPr>
                <w:rFonts w:ascii="Arial" w:eastAsia="Times New Roman" w:hAnsi="Arial" w:cs="Times New Roman"/>
                <w:noProof/>
                <w:webHidden/>
                <w:sz w:val="24"/>
                <w:szCs w:val="20"/>
                <w:lang w:eastAsia="en-GB"/>
              </w:rPr>
              <w:t>4</w:t>
            </w:r>
            <w:r w:rsidR="00B43210" w:rsidRPr="00B43210">
              <w:rPr>
                <w:rFonts w:ascii="Arial" w:eastAsia="Times New Roman" w:hAnsi="Arial" w:cs="Times New Roman"/>
                <w:noProof/>
                <w:webHidden/>
                <w:sz w:val="24"/>
                <w:szCs w:val="20"/>
                <w:lang w:eastAsia="en-GB"/>
              </w:rPr>
              <w:fldChar w:fldCharType="end"/>
            </w:r>
          </w:hyperlink>
        </w:p>
        <w:p w14:paraId="39D71B26" w14:textId="77777777" w:rsidR="00B43210" w:rsidRPr="00B43210" w:rsidRDefault="00F05F80" w:rsidP="00B43210">
          <w:pPr>
            <w:tabs>
              <w:tab w:val="left" w:pos="440"/>
              <w:tab w:val="right" w:leader="dot" w:pos="9038"/>
            </w:tabs>
            <w:spacing w:after="100" w:line="240" w:lineRule="auto"/>
            <w:rPr>
              <w:rFonts w:eastAsiaTheme="minorEastAsia"/>
              <w:noProof/>
              <w:lang w:eastAsia="en-GB"/>
            </w:rPr>
          </w:pPr>
          <w:hyperlink w:anchor="_Toc112322173" w:history="1">
            <w:r w:rsidR="00B43210" w:rsidRPr="00B43210">
              <w:rPr>
                <w:rFonts w:ascii="Arial" w:eastAsiaTheme="majorEastAsia" w:hAnsi="Arial" w:cs="Arial"/>
                <w:noProof/>
                <w:color w:val="0563C1" w:themeColor="hyperlink"/>
                <w:sz w:val="24"/>
                <w:szCs w:val="20"/>
                <w:u w:val="single"/>
              </w:rPr>
              <w:t>8.</w:t>
            </w:r>
            <w:r w:rsidR="00B43210" w:rsidRPr="00B43210">
              <w:rPr>
                <w:rFonts w:eastAsiaTheme="minorEastAsia"/>
                <w:noProof/>
                <w:lang w:eastAsia="en-GB"/>
              </w:rPr>
              <w:tab/>
            </w:r>
            <w:r w:rsidR="00B43210" w:rsidRPr="00B43210">
              <w:rPr>
                <w:rFonts w:ascii="Arial" w:eastAsiaTheme="majorEastAsia" w:hAnsi="Arial" w:cs="Arial"/>
                <w:noProof/>
                <w:color w:val="0563C1" w:themeColor="hyperlink"/>
                <w:sz w:val="24"/>
                <w:szCs w:val="20"/>
                <w:u w:val="single"/>
              </w:rPr>
              <w:t>CIPFA and the Pension Regulator’s Requirements</w:t>
            </w:r>
            <w:r w:rsidR="00B43210" w:rsidRPr="00B43210">
              <w:rPr>
                <w:rFonts w:ascii="Arial" w:eastAsia="Times New Roman" w:hAnsi="Arial" w:cs="Times New Roman"/>
                <w:noProof/>
                <w:webHidden/>
                <w:sz w:val="24"/>
                <w:szCs w:val="20"/>
                <w:lang w:eastAsia="en-GB"/>
              </w:rPr>
              <w:tab/>
            </w:r>
            <w:r w:rsidR="00B43210" w:rsidRPr="00B43210">
              <w:rPr>
                <w:rFonts w:ascii="Arial" w:eastAsia="Times New Roman" w:hAnsi="Arial" w:cs="Times New Roman"/>
                <w:noProof/>
                <w:webHidden/>
                <w:sz w:val="24"/>
                <w:szCs w:val="20"/>
                <w:lang w:eastAsia="en-GB"/>
              </w:rPr>
              <w:fldChar w:fldCharType="begin"/>
            </w:r>
            <w:r w:rsidR="00B43210" w:rsidRPr="00B43210">
              <w:rPr>
                <w:rFonts w:ascii="Arial" w:eastAsia="Times New Roman" w:hAnsi="Arial" w:cs="Times New Roman"/>
                <w:noProof/>
                <w:webHidden/>
                <w:sz w:val="24"/>
                <w:szCs w:val="20"/>
                <w:lang w:eastAsia="en-GB"/>
              </w:rPr>
              <w:instrText xml:space="preserve"> PAGEREF _Toc112322173 \h </w:instrText>
            </w:r>
            <w:r w:rsidR="00B43210" w:rsidRPr="00B43210">
              <w:rPr>
                <w:rFonts w:ascii="Arial" w:eastAsia="Times New Roman" w:hAnsi="Arial" w:cs="Times New Roman"/>
                <w:noProof/>
                <w:webHidden/>
                <w:sz w:val="24"/>
                <w:szCs w:val="20"/>
                <w:lang w:eastAsia="en-GB"/>
              </w:rPr>
            </w:r>
            <w:r w:rsidR="00B43210" w:rsidRPr="00B43210">
              <w:rPr>
                <w:rFonts w:ascii="Arial" w:eastAsia="Times New Roman" w:hAnsi="Arial" w:cs="Times New Roman"/>
                <w:noProof/>
                <w:webHidden/>
                <w:sz w:val="24"/>
                <w:szCs w:val="20"/>
                <w:lang w:eastAsia="en-GB"/>
              </w:rPr>
              <w:fldChar w:fldCharType="separate"/>
            </w:r>
            <w:r w:rsidR="00B43210" w:rsidRPr="00B43210">
              <w:rPr>
                <w:rFonts w:ascii="Arial" w:eastAsia="Times New Roman" w:hAnsi="Arial" w:cs="Times New Roman"/>
                <w:noProof/>
                <w:webHidden/>
                <w:sz w:val="24"/>
                <w:szCs w:val="20"/>
                <w:lang w:eastAsia="en-GB"/>
              </w:rPr>
              <w:t>5</w:t>
            </w:r>
            <w:r w:rsidR="00B43210" w:rsidRPr="00B43210">
              <w:rPr>
                <w:rFonts w:ascii="Arial" w:eastAsia="Times New Roman" w:hAnsi="Arial" w:cs="Times New Roman"/>
                <w:noProof/>
                <w:webHidden/>
                <w:sz w:val="24"/>
                <w:szCs w:val="20"/>
                <w:lang w:eastAsia="en-GB"/>
              </w:rPr>
              <w:fldChar w:fldCharType="end"/>
            </w:r>
          </w:hyperlink>
        </w:p>
        <w:p w14:paraId="0C3943CB" w14:textId="77777777" w:rsidR="00B43210" w:rsidRPr="00B43210" w:rsidRDefault="00F05F80" w:rsidP="00B43210">
          <w:pPr>
            <w:tabs>
              <w:tab w:val="left" w:pos="880"/>
              <w:tab w:val="right" w:leader="dot" w:pos="9038"/>
            </w:tabs>
            <w:spacing w:after="100" w:line="240" w:lineRule="auto"/>
            <w:ind w:firstLine="240"/>
            <w:rPr>
              <w:rFonts w:eastAsiaTheme="minorEastAsia"/>
              <w:noProof/>
              <w:lang w:eastAsia="en-GB"/>
            </w:rPr>
          </w:pPr>
          <w:hyperlink w:anchor="_Toc112322174" w:history="1">
            <w:r w:rsidR="00B43210" w:rsidRPr="00B43210">
              <w:rPr>
                <w:rFonts w:ascii="Arial" w:eastAsiaTheme="majorEastAsia" w:hAnsi="Arial" w:cs="Arial"/>
                <w:noProof/>
                <w:color w:val="0563C1" w:themeColor="hyperlink"/>
                <w:sz w:val="24"/>
                <w:szCs w:val="20"/>
                <w:u w:val="single"/>
              </w:rPr>
              <w:t>8.1</w:t>
            </w:r>
            <w:r w:rsidR="00B43210" w:rsidRPr="00B43210">
              <w:rPr>
                <w:rFonts w:eastAsiaTheme="minorEastAsia"/>
                <w:noProof/>
                <w:lang w:eastAsia="en-GB"/>
              </w:rPr>
              <w:tab/>
            </w:r>
            <w:r w:rsidR="00B43210" w:rsidRPr="00B43210">
              <w:rPr>
                <w:rFonts w:ascii="Arial" w:eastAsiaTheme="majorEastAsia" w:hAnsi="Arial" w:cs="Arial"/>
                <w:noProof/>
                <w:color w:val="0563C1" w:themeColor="hyperlink"/>
                <w:sz w:val="24"/>
                <w:szCs w:val="20"/>
                <w:u w:val="single"/>
              </w:rPr>
              <w:t>CIPFA Managing Risk Publication</w:t>
            </w:r>
            <w:r w:rsidR="00B43210" w:rsidRPr="00B43210">
              <w:rPr>
                <w:rFonts w:ascii="Arial" w:eastAsia="Times New Roman" w:hAnsi="Arial" w:cs="Times New Roman"/>
                <w:noProof/>
                <w:webHidden/>
                <w:sz w:val="24"/>
                <w:szCs w:val="20"/>
                <w:lang w:eastAsia="en-GB"/>
              </w:rPr>
              <w:tab/>
            </w:r>
            <w:r w:rsidR="00B43210" w:rsidRPr="00B43210">
              <w:rPr>
                <w:rFonts w:ascii="Arial" w:eastAsia="Times New Roman" w:hAnsi="Arial" w:cs="Times New Roman"/>
                <w:noProof/>
                <w:webHidden/>
                <w:sz w:val="24"/>
                <w:szCs w:val="20"/>
                <w:lang w:eastAsia="en-GB"/>
              </w:rPr>
              <w:fldChar w:fldCharType="begin"/>
            </w:r>
            <w:r w:rsidR="00B43210" w:rsidRPr="00B43210">
              <w:rPr>
                <w:rFonts w:ascii="Arial" w:eastAsia="Times New Roman" w:hAnsi="Arial" w:cs="Times New Roman"/>
                <w:noProof/>
                <w:webHidden/>
                <w:sz w:val="24"/>
                <w:szCs w:val="20"/>
                <w:lang w:eastAsia="en-GB"/>
              </w:rPr>
              <w:instrText xml:space="preserve"> PAGEREF _Toc112322174 \h </w:instrText>
            </w:r>
            <w:r w:rsidR="00B43210" w:rsidRPr="00B43210">
              <w:rPr>
                <w:rFonts w:ascii="Arial" w:eastAsia="Times New Roman" w:hAnsi="Arial" w:cs="Times New Roman"/>
                <w:noProof/>
                <w:webHidden/>
                <w:sz w:val="24"/>
                <w:szCs w:val="20"/>
                <w:lang w:eastAsia="en-GB"/>
              </w:rPr>
            </w:r>
            <w:r w:rsidR="00B43210" w:rsidRPr="00B43210">
              <w:rPr>
                <w:rFonts w:ascii="Arial" w:eastAsia="Times New Roman" w:hAnsi="Arial" w:cs="Times New Roman"/>
                <w:noProof/>
                <w:webHidden/>
                <w:sz w:val="24"/>
                <w:szCs w:val="20"/>
                <w:lang w:eastAsia="en-GB"/>
              </w:rPr>
              <w:fldChar w:fldCharType="separate"/>
            </w:r>
            <w:r w:rsidR="00B43210" w:rsidRPr="00B43210">
              <w:rPr>
                <w:rFonts w:ascii="Arial" w:eastAsia="Times New Roman" w:hAnsi="Arial" w:cs="Times New Roman"/>
                <w:noProof/>
                <w:webHidden/>
                <w:sz w:val="24"/>
                <w:szCs w:val="20"/>
                <w:lang w:eastAsia="en-GB"/>
              </w:rPr>
              <w:t>5</w:t>
            </w:r>
            <w:r w:rsidR="00B43210" w:rsidRPr="00B43210">
              <w:rPr>
                <w:rFonts w:ascii="Arial" w:eastAsia="Times New Roman" w:hAnsi="Arial" w:cs="Times New Roman"/>
                <w:noProof/>
                <w:webHidden/>
                <w:sz w:val="24"/>
                <w:szCs w:val="20"/>
                <w:lang w:eastAsia="en-GB"/>
              </w:rPr>
              <w:fldChar w:fldCharType="end"/>
            </w:r>
          </w:hyperlink>
        </w:p>
        <w:p w14:paraId="0BEA8510" w14:textId="77777777" w:rsidR="00B43210" w:rsidRPr="00B43210" w:rsidRDefault="00F05F80" w:rsidP="00B43210">
          <w:pPr>
            <w:tabs>
              <w:tab w:val="left" w:pos="880"/>
              <w:tab w:val="right" w:leader="dot" w:pos="9038"/>
            </w:tabs>
            <w:spacing w:after="100" w:line="240" w:lineRule="auto"/>
            <w:ind w:left="240"/>
            <w:rPr>
              <w:rFonts w:eastAsiaTheme="minorEastAsia"/>
              <w:noProof/>
              <w:lang w:eastAsia="en-GB"/>
            </w:rPr>
          </w:pPr>
          <w:hyperlink w:anchor="_Toc112322175" w:history="1">
            <w:r w:rsidR="00B43210" w:rsidRPr="00B43210">
              <w:rPr>
                <w:rFonts w:ascii="Arial" w:eastAsiaTheme="majorEastAsia" w:hAnsi="Arial" w:cs="Arial"/>
                <w:noProof/>
                <w:color w:val="0563C1" w:themeColor="hyperlink"/>
                <w:sz w:val="24"/>
                <w:szCs w:val="20"/>
                <w:u w:val="single"/>
              </w:rPr>
              <w:t>8.2</w:t>
            </w:r>
            <w:r w:rsidR="00B43210" w:rsidRPr="00B43210">
              <w:rPr>
                <w:rFonts w:eastAsiaTheme="minorEastAsia"/>
                <w:noProof/>
                <w:lang w:eastAsia="en-GB"/>
              </w:rPr>
              <w:tab/>
            </w:r>
            <w:r w:rsidR="00B43210" w:rsidRPr="00B43210">
              <w:rPr>
                <w:rFonts w:ascii="Arial" w:eastAsiaTheme="majorEastAsia" w:hAnsi="Arial" w:cs="Arial"/>
                <w:noProof/>
                <w:color w:val="0563C1" w:themeColor="hyperlink"/>
                <w:sz w:val="24"/>
                <w:szCs w:val="20"/>
                <w:u w:val="single"/>
              </w:rPr>
              <w:t>The Pension Regulator’s Code of Practice</w:t>
            </w:r>
            <w:r w:rsidR="00B43210" w:rsidRPr="00B43210">
              <w:rPr>
                <w:rFonts w:ascii="Arial" w:eastAsia="Times New Roman" w:hAnsi="Arial" w:cs="Times New Roman"/>
                <w:noProof/>
                <w:webHidden/>
                <w:sz w:val="24"/>
                <w:szCs w:val="20"/>
                <w:lang w:eastAsia="en-GB"/>
              </w:rPr>
              <w:tab/>
            </w:r>
            <w:r w:rsidR="00B43210" w:rsidRPr="00B43210">
              <w:rPr>
                <w:rFonts w:ascii="Arial" w:eastAsia="Times New Roman" w:hAnsi="Arial" w:cs="Times New Roman"/>
                <w:noProof/>
                <w:webHidden/>
                <w:sz w:val="24"/>
                <w:szCs w:val="20"/>
                <w:lang w:eastAsia="en-GB"/>
              </w:rPr>
              <w:fldChar w:fldCharType="begin"/>
            </w:r>
            <w:r w:rsidR="00B43210" w:rsidRPr="00B43210">
              <w:rPr>
                <w:rFonts w:ascii="Arial" w:eastAsia="Times New Roman" w:hAnsi="Arial" w:cs="Times New Roman"/>
                <w:noProof/>
                <w:webHidden/>
                <w:sz w:val="24"/>
                <w:szCs w:val="20"/>
                <w:lang w:eastAsia="en-GB"/>
              </w:rPr>
              <w:instrText xml:space="preserve"> PAGEREF _Toc112322175 \h </w:instrText>
            </w:r>
            <w:r w:rsidR="00B43210" w:rsidRPr="00B43210">
              <w:rPr>
                <w:rFonts w:ascii="Arial" w:eastAsia="Times New Roman" w:hAnsi="Arial" w:cs="Times New Roman"/>
                <w:noProof/>
                <w:webHidden/>
                <w:sz w:val="24"/>
                <w:szCs w:val="20"/>
                <w:lang w:eastAsia="en-GB"/>
              </w:rPr>
            </w:r>
            <w:r w:rsidR="00B43210" w:rsidRPr="00B43210">
              <w:rPr>
                <w:rFonts w:ascii="Arial" w:eastAsia="Times New Roman" w:hAnsi="Arial" w:cs="Times New Roman"/>
                <w:noProof/>
                <w:webHidden/>
                <w:sz w:val="24"/>
                <w:szCs w:val="20"/>
                <w:lang w:eastAsia="en-GB"/>
              </w:rPr>
              <w:fldChar w:fldCharType="separate"/>
            </w:r>
            <w:r w:rsidR="00B43210" w:rsidRPr="00B43210">
              <w:rPr>
                <w:rFonts w:ascii="Arial" w:eastAsia="Times New Roman" w:hAnsi="Arial" w:cs="Times New Roman"/>
                <w:noProof/>
                <w:webHidden/>
                <w:sz w:val="24"/>
                <w:szCs w:val="20"/>
                <w:lang w:eastAsia="en-GB"/>
              </w:rPr>
              <w:t>5</w:t>
            </w:r>
            <w:r w:rsidR="00B43210" w:rsidRPr="00B43210">
              <w:rPr>
                <w:rFonts w:ascii="Arial" w:eastAsia="Times New Roman" w:hAnsi="Arial" w:cs="Times New Roman"/>
                <w:noProof/>
                <w:webHidden/>
                <w:sz w:val="24"/>
                <w:szCs w:val="20"/>
                <w:lang w:eastAsia="en-GB"/>
              </w:rPr>
              <w:fldChar w:fldCharType="end"/>
            </w:r>
          </w:hyperlink>
        </w:p>
        <w:p w14:paraId="3EFF60C6" w14:textId="77777777" w:rsidR="00B43210" w:rsidRPr="00B43210" w:rsidRDefault="00F05F80" w:rsidP="00B43210">
          <w:pPr>
            <w:tabs>
              <w:tab w:val="left" w:pos="440"/>
              <w:tab w:val="right" w:leader="dot" w:pos="9038"/>
            </w:tabs>
            <w:spacing w:after="100" w:line="240" w:lineRule="auto"/>
            <w:rPr>
              <w:rFonts w:eastAsiaTheme="minorEastAsia"/>
              <w:noProof/>
              <w:lang w:eastAsia="en-GB"/>
            </w:rPr>
          </w:pPr>
          <w:hyperlink w:anchor="_Toc112322176" w:history="1">
            <w:r w:rsidR="00B43210" w:rsidRPr="00B43210">
              <w:rPr>
                <w:rFonts w:ascii="Arial" w:eastAsiaTheme="majorEastAsia" w:hAnsi="Arial" w:cs="Arial"/>
                <w:noProof/>
                <w:color w:val="0563C1" w:themeColor="hyperlink"/>
                <w:sz w:val="24"/>
                <w:szCs w:val="20"/>
                <w:u w:val="single"/>
              </w:rPr>
              <w:t>9.</w:t>
            </w:r>
            <w:r w:rsidR="00B43210" w:rsidRPr="00B43210">
              <w:rPr>
                <w:rFonts w:eastAsiaTheme="minorEastAsia"/>
                <w:noProof/>
                <w:lang w:eastAsia="en-GB"/>
              </w:rPr>
              <w:tab/>
            </w:r>
            <w:r w:rsidR="00B43210" w:rsidRPr="00B43210">
              <w:rPr>
                <w:rFonts w:ascii="Arial" w:eastAsiaTheme="majorEastAsia" w:hAnsi="Arial" w:cs="Arial"/>
                <w:noProof/>
                <w:color w:val="0563C1" w:themeColor="hyperlink"/>
                <w:sz w:val="24"/>
                <w:szCs w:val="20"/>
                <w:u w:val="single"/>
              </w:rPr>
              <w:t>Responsibility</w:t>
            </w:r>
            <w:r w:rsidR="00B43210" w:rsidRPr="00B43210">
              <w:rPr>
                <w:rFonts w:ascii="Arial" w:eastAsia="Times New Roman" w:hAnsi="Arial" w:cs="Times New Roman"/>
                <w:noProof/>
                <w:webHidden/>
                <w:sz w:val="24"/>
                <w:szCs w:val="20"/>
                <w:lang w:eastAsia="en-GB"/>
              </w:rPr>
              <w:tab/>
            </w:r>
            <w:r w:rsidR="00B43210" w:rsidRPr="00B43210">
              <w:rPr>
                <w:rFonts w:ascii="Arial" w:eastAsia="Times New Roman" w:hAnsi="Arial" w:cs="Times New Roman"/>
                <w:noProof/>
                <w:webHidden/>
                <w:sz w:val="24"/>
                <w:szCs w:val="20"/>
                <w:lang w:eastAsia="en-GB"/>
              </w:rPr>
              <w:fldChar w:fldCharType="begin"/>
            </w:r>
            <w:r w:rsidR="00B43210" w:rsidRPr="00B43210">
              <w:rPr>
                <w:rFonts w:ascii="Arial" w:eastAsia="Times New Roman" w:hAnsi="Arial" w:cs="Times New Roman"/>
                <w:noProof/>
                <w:webHidden/>
                <w:sz w:val="24"/>
                <w:szCs w:val="20"/>
                <w:lang w:eastAsia="en-GB"/>
              </w:rPr>
              <w:instrText xml:space="preserve"> PAGEREF _Toc112322176 \h </w:instrText>
            </w:r>
            <w:r w:rsidR="00B43210" w:rsidRPr="00B43210">
              <w:rPr>
                <w:rFonts w:ascii="Arial" w:eastAsia="Times New Roman" w:hAnsi="Arial" w:cs="Times New Roman"/>
                <w:noProof/>
                <w:webHidden/>
                <w:sz w:val="24"/>
                <w:szCs w:val="20"/>
                <w:lang w:eastAsia="en-GB"/>
              </w:rPr>
            </w:r>
            <w:r w:rsidR="00B43210" w:rsidRPr="00B43210">
              <w:rPr>
                <w:rFonts w:ascii="Arial" w:eastAsia="Times New Roman" w:hAnsi="Arial" w:cs="Times New Roman"/>
                <w:noProof/>
                <w:webHidden/>
                <w:sz w:val="24"/>
                <w:szCs w:val="20"/>
                <w:lang w:eastAsia="en-GB"/>
              </w:rPr>
              <w:fldChar w:fldCharType="separate"/>
            </w:r>
            <w:r w:rsidR="00B43210" w:rsidRPr="00B43210">
              <w:rPr>
                <w:rFonts w:ascii="Arial" w:eastAsia="Times New Roman" w:hAnsi="Arial" w:cs="Times New Roman"/>
                <w:noProof/>
                <w:webHidden/>
                <w:sz w:val="24"/>
                <w:szCs w:val="20"/>
                <w:lang w:eastAsia="en-GB"/>
              </w:rPr>
              <w:t>7</w:t>
            </w:r>
            <w:r w:rsidR="00B43210" w:rsidRPr="00B43210">
              <w:rPr>
                <w:rFonts w:ascii="Arial" w:eastAsia="Times New Roman" w:hAnsi="Arial" w:cs="Times New Roman"/>
                <w:noProof/>
                <w:webHidden/>
                <w:sz w:val="24"/>
                <w:szCs w:val="20"/>
                <w:lang w:eastAsia="en-GB"/>
              </w:rPr>
              <w:fldChar w:fldCharType="end"/>
            </w:r>
          </w:hyperlink>
        </w:p>
        <w:p w14:paraId="66305AFA" w14:textId="337AC89E" w:rsidR="00B43210" w:rsidRPr="00B43210" w:rsidRDefault="00F05F80" w:rsidP="00B43210">
          <w:pPr>
            <w:tabs>
              <w:tab w:val="left" w:pos="426"/>
              <w:tab w:val="right" w:leader="dot" w:pos="9038"/>
            </w:tabs>
            <w:spacing w:after="100" w:line="240" w:lineRule="auto"/>
            <w:rPr>
              <w:rFonts w:eastAsiaTheme="minorEastAsia"/>
              <w:noProof/>
              <w:lang w:eastAsia="en-GB"/>
            </w:rPr>
          </w:pPr>
          <w:hyperlink w:anchor="_Toc112322177" w:history="1">
            <w:r w:rsidR="00B43210" w:rsidRPr="00B43210">
              <w:rPr>
                <w:rFonts w:ascii="Arial" w:eastAsiaTheme="majorEastAsia" w:hAnsi="Arial" w:cs="Arial"/>
                <w:noProof/>
                <w:color w:val="0563C1" w:themeColor="hyperlink"/>
                <w:sz w:val="24"/>
                <w:szCs w:val="20"/>
                <w:u w:val="single"/>
              </w:rPr>
              <w:t>10.</w:t>
            </w:r>
            <w:r w:rsidR="00B43210">
              <w:rPr>
                <w:rFonts w:eastAsiaTheme="minorEastAsia"/>
                <w:noProof/>
                <w:lang w:eastAsia="en-GB"/>
              </w:rPr>
              <w:tab/>
            </w:r>
            <w:r w:rsidR="00B43210" w:rsidRPr="00B43210">
              <w:rPr>
                <w:rFonts w:ascii="Arial" w:eastAsiaTheme="majorEastAsia" w:hAnsi="Arial" w:cs="Arial"/>
                <w:noProof/>
                <w:color w:val="0563C1" w:themeColor="hyperlink"/>
                <w:sz w:val="24"/>
                <w:szCs w:val="20"/>
                <w:u w:val="single"/>
              </w:rPr>
              <w:t>The Cambridgeshire Pension Fund Risk Management Process</w:t>
            </w:r>
            <w:r w:rsidR="00B43210" w:rsidRPr="00B43210">
              <w:rPr>
                <w:rFonts w:ascii="Arial" w:eastAsia="Times New Roman" w:hAnsi="Arial" w:cs="Times New Roman"/>
                <w:noProof/>
                <w:webHidden/>
                <w:sz w:val="24"/>
                <w:szCs w:val="20"/>
                <w:lang w:eastAsia="en-GB"/>
              </w:rPr>
              <w:tab/>
            </w:r>
            <w:r w:rsidR="00B43210" w:rsidRPr="00B43210">
              <w:rPr>
                <w:rFonts w:ascii="Arial" w:eastAsia="Times New Roman" w:hAnsi="Arial" w:cs="Times New Roman"/>
                <w:noProof/>
                <w:webHidden/>
                <w:sz w:val="24"/>
                <w:szCs w:val="20"/>
                <w:lang w:eastAsia="en-GB"/>
              </w:rPr>
              <w:fldChar w:fldCharType="begin"/>
            </w:r>
            <w:r w:rsidR="00B43210" w:rsidRPr="00B43210">
              <w:rPr>
                <w:rFonts w:ascii="Arial" w:eastAsia="Times New Roman" w:hAnsi="Arial" w:cs="Times New Roman"/>
                <w:noProof/>
                <w:webHidden/>
                <w:sz w:val="24"/>
                <w:szCs w:val="20"/>
                <w:lang w:eastAsia="en-GB"/>
              </w:rPr>
              <w:instrText xml:space="preserve"> PAGEREF _Toc112322177 \h </w:instrText>
            </w:r>
            <w:r w:rsidR="00B43210" w:rsidRPr="00B43210">
              <w:rPr>
                <w:rFonts w:ascii="Arial" w:eastAsia="Times New Roman" w:hAnsi="Arial" w:cs="Times New Roman"/>
                <w:noProof/>
                <w:webHidden/>
                <w:sz w:val="24"/>
                <w:szCs w:val="20"/>
                <w:lang w:eastAsia="en-GB"/>
              </w:rPr>
            </w:r>
            <w:r w:rsidR="00B43210" w:rsidRPr="00B43210">
              <w:rPr>
                <w:rFonts w:ascii="Arial" w:eastAsia="Times New Roman" w:hAnsi="Arial" w:cs="Times New Roman"/>
                <w:noProof/>
                <w:webHidden/>
                <w:sz w:val="24"/>
                <w:szCs w:val="20"/>
                <w:lang w:eastAsia="en-GB"/>
              </w:rPr>
              <w:fldChar w:fldCharType="separate"/>
            </w:r>
            <w:r w:rsidR="00B43210" w:rsidRPr="00B43210">
              <w:rPr>
                <w:rFonts w:ascii="Arial" w:eastAsia="Times New Roman" w:hAnsi="Arial" w:cs="Times New Roman"/>
                <w:noProof/>
                <w:webHidden/>
                <w:sz w:val="24"/>
                <w:szCs w:val="20"/>
                <w:lang w:eastAsia="en-GB"/>
              </w:rPr>
              <w:t>7</w:t>
            </w:r>
            <w:r w:rsidR="00B43210" w:rsidRPr="00B43210">
              <w:rPr>
                <w:rFonts w:ascii="Arial" w:eastAsia="Times New Roman" w:hAnsi="Arial" w:cs="Times New Roman"/>
                <w:noProof/>
                <w:webHidden/>
                <w:sz w:val="24"/>
                <w:szCs w:val="20"/>
                <w:lang w:eastAsia="en-GB"/>
              </w:rPr>
              <w:fldChar w:fldCharType="end"/>
            </w:r>
          </w:hyperlink>
        </w:p>
        <w:p w14:paraId="681F1ADC" w14:textId="77777777" w:rsidR="00B43210" w:rsidRPr="00B43210" w:rsidRDefault="00F05F80" w:rsidP="00B43210">
          <w:pPr>
            <w:tabs>
              <w:tab w:val="left" w:pos="426"/>
              <w:tab w:val="right" w:leader="dot" w:pos="9038"/>
            </w:tabs>
            <w:spacing w:after="100" w:line="240" w:lineRule="auto"/>
            <w:rPr>
              <w:rFonts w:eastAsiaTheme="minorEastAsia"/>
              <w:noProof/>
              <w:lang w:eastAsia="en-GB"/>
            </w:rPr>
          </w:pPr>
          <w:hyperlink w:anchor="_Toc112322178" w:history="1">
            <w:r w:rsidR="00B43210" w:rsidRPr="00B43210">
              <w:rPr>
                <w:rFonts w:ascii="Arial" w:eastAsiaTheme="majorEastAsia" w:hAnsi="Arial" w:cs="Arial"/>
                <w:noProof/>
                <w:color w:val="0563C1" w:themeColor="hyperlink"/>
                <w:sz w:val="24"/>
                <w:szCs w:val="20"/>
                <w:u w:val="single"/>
              </w:rPr>
              <w:t>11.</w:t>
            </w:r>
            <w:r w:rsidR="00B43210" w:rsidRPr="00B43210">
              <w:rPr>
                <w:rFonts w:eastAsiaTheme="minorEastAsia"/>
                <w:noProof/>
                <w:lang w:eastAsia="en-GB"/>
              </w:rPr>
              <w:tab/>
            </w:r>
            <w:r w:rsidR="00B43210" w:rsidRPr="00B43210">
              <w:rPr>
                <w:rFonts w:ascii="Arial" w:eastAsiaTheme="majorEastAsia" w:hAnsi="Arial" w:cs="Arial"/>
                <w:noProof/>
                <w:color w:val="0563C1" w:themeColor="hyperlink"/>
                <w:sz w:val="24"/>
                <w:szCs w:val="20"/>
                <w:u w:val="single"/>
              </w:rPr>
              <w:t>Reporting and monitoring</w:t>
            </w:r>
            <w:r w:rsidR="00B43210" w:rsidRPr="00B43210">
              <w:rPr>
                <w:rFonts w:ascii="Arial" w:eastAsia="Times New Roman" w:hAnsi="Arial" w:cs="Times New Roman"/>
                <w:noProof/>
                <w:webHidden/>
                <w:sz w:val="24"/>
                <w:szCs w:val="20"/>
                <w:lang w:eastAsia="en-GB"/>
              </w:rPr>
              <w:tab/>
            </w:r>
            <w:r w:rsidR="00B43210" w:rsidRPr="00B43210">
              <w:rPr>
                <w:rFonts w:ascii="Arial" w:eastAsia="Times New Roman" w:hAnsi="Arial" w:cs="Times New Roman"/>
                <w:noProof/>
                <w:webHidden/>
                <w:sz w:val="24"/>
                <w:szCs w:val="20"/>
                <w:lang w:eastAsia="en-GB"/>
              </w:rPr>
              <w:fldChar w:fldCharType="begin"/>
            </w:r>
            <w:r w:rsidR="00B43210" w:rsidRPr="00B43210">
              <w:rPr>
                <w:rFonts w:ascii="Arial" w:eastAsia="Times New Roman" w:hAnsi="Arial" w:cs="Times New Roman"/>
                <w:noProof/>
                <w:webHidden/>
                <w:sz w:val="24"/>
                <w:szCs w:val="20"/>
                <w:lang w:eastAsia="en-GB"/>
              </w:rPr>
              <w:instrText xml:space="preserve"> PAGEREF _Toc112322178 \h </w:instrText>
            </w:r>
            <w:r w:rsidR="00B43210" w:rsidRPr="00B43210">
              <w:rPr>
                <w:rFonts w:ascii="Arial" w:eastAsia="Times New Roman" w:hAnsi="Arial" w:cs="Times New Roman"/>
                <w:noProof/>
                <w:webHidden/>
                <w:sz w:val="24"/>
                <w:szCs w:val="20"/>
                <w:lang w:eastAsia="en-GB"/>
              </w:rPr>
            </w:r>
            <w:r w:rsidR="00B43210" w:rsidRPr="00B43210">
              <w:rPr>
                <w:rFonts w:ascii="Arial" w:eastAsia="Times New Roman" w:hAnsi="Arial" w:cs="Times New Roman"/>
                <w:noProof/>
                <w:webHidden/>
                <w:sz w:val="24"/>
                <w:szCs w:val="20"/>
                <w:lang w:eastAsia="en-GB"/>
              </w:rPr>
              <w:fldChar w:fldCharType="separate"/>
            </w:r>
            <w:r w:rsidR="00B43210" w:rsidRPr="00B43210">
              <w:rPr>
                <w:rFonts w:ascii="Arial" w:eastAsia="Times New Roman" w:hAnsi="Arial" w:cs="Times New Roman"/>
                <w:noProof/>
                <w:webHidden/>
                <w:sz w:val="24"/>
                <w:szCs w:val="20"/>
                <w:lang w:eastAsia="en-GB"/>
              </w:rPr>
              <w:t>10</w:t>
            </w:r>
            <w:r w:rsidR="00B43210" w:rsidRPr="00B43210">
              <w:rPr>
                <w:rFonts w:ascii="Arial" w:eastAsia="Times New Roman" w:hAnsi="Arial" w:cs="Times New Roman"/>
                <w:noProof/>
                <w:webHidden/>
                <w:sz w:val="24"/>
                <w:szCs w:val="20"/>
                <w:lang w:eastAsia="en-GB"/>
              </w:rPr>
              <w:fldChar w:fldCharType="end"/>
            </w:r>
          </w:hyperlink>
        </w:p>
        <w:p w14:paraId="0C56554C" w14:textId="77777777" w:rsidR="00B43210" w:rsidRPr="00B43210" w:rsidRDefault="00F05F80" w:rsidP="00B43210">
          <w:pPr>
            <w:tabs>
              <w:tab w:val="left" w:pos="426"/>
              <w:tab w:val="right" w:leader="dot" w:pos="9038"/>
            </w:tabs>
            <w:spacing w:after="100" w:line="240" w:lineRule="auto"/>
            <w:rPr>
              <w:rFonts w:eastAsiaTheme="minorEastAsia"/>
              <w:noProof/>
              <w:lang w:eastAsia="en-GB"/>
            </w:rPr>
          </w:pPr>
          <w:hyperlink w:anchor="_Toc112322179" w:history="1">
            <w:r w:rsidR="00B43210" w:rsidRPr="00B43210">
              <w:rPr>
                <w:rFonts w:ascii="Arial" w:eastAsiaTheme="majorEastAsia" w:hAnsi="Arial" w:cs="Arial"/>
                <w:noProof/>
                <w:color w:val="0563C1" w:themeColor="hyperlink"/>
                <w:sz w:val="24"/>
                <w:szCs w:val="20"/>
                <w:u w:val="single"/>
              </w:rPr>
              <w:t>12.</w:t>
            </w:r>
            <w:r w:rsidR="00B43210" w:rsidRPr="00B43210">
              <w:rPr>
                <w:rFonts w:eastAsiaTheme="minorEastAsia"/>
                <w:noProof/>
                <w:lang w:eastAsia="en-GB"/>
              </w:rPr>
              <w:tab/>
            </w:r>
            <w:r w:rsidR="00B43210" w:rsidRPr="00B43210">
              <w:rPr>
                <w:rFonts w:ascii="Arial" w:eastAsiaTheme="majorEastAsia" w:hAnsi="Arial" w:cs="Arial"/>
                <w:noProof/>
                <w:color w:val="0563C1" w:themeColor="hyperlink"/>
                <w:sz w:val="24"/>
                <w:szCs w:val="20"/>
                <w:u w:val="single"/>
              </w:rPr>
              <w:t>Key risks to the effective delivery</w:t>
            </w:r>
            <w:r w:rsidR="00B43210" w:rsidRPr="00B43210">
              <w:rPr>
                <w:rFonts w:ascii="Arial" w:eastAsia="Times New Roman" w:hAnsi="Arial" w:cs="Times New Roman"/>
                <w:noProof/>
                <w:webHidden/>
                <w:sz w:val="24"/>
                <w:szCs w:val="20"/>
                <w:lang w:eastAsia="en-GB"/>
              </w:rPr>
              <w:tab/>
            </w:r>
            <w:r w:rsidR="00B43210" w:rsidRPr="00B43210">
              <w:rPr>
                <w:rFonts w:ascii="Arial" w:eastAsia="Times New Roman" w:hAnsi="Arial" w:cs="Times New Roman"/>
                <w:noProof/>
                <w:webHidden/>
                <w:sz w:val="24"/>
                <w:szCs w:val="20"/>
                <w:lang w:eastAsia="en-GB"/>
              </w:rPr>
              <w:fldChar w:fldCharType="begin"/>
            </w:r>
            <w:r w:rsidR="00B43210" w:rsidRPr="00B43210">
              <w:rPr>
                <w:rFonts w:ascii="Arial" w:eastAsia="Times New Roman" w:hAnsi="Arial" w:cs="Times New Roman"/>
                <w:noProof/>
                <w:webHidden/>
                <w:sz w:val="24"/>
                <w:szCs w:val="20"/>
                <w:lang w:eastAsia="en-GB"/>
              </w:rPr>
              <w:instrText xml:space="preserve"> PAGEREF _Toc112322179 \h </w:instrText>
            </w:r>
            <w:r w:rsidR="00B43210" w:rsidRPr="00B43210">
              <w:rPr>
                <w:rFonts w:ascii="Arial" w:eastAsia="Times New Roman" w:hAnsi="Arial" w:cs="Times New Roman"/>
                <w:noProof/>
                <w:webHidden/>
                <w:sz w:val="24"/>
                <w:szCs w:val="20"/>
                <w:lang w:eastAsia="en-GB"/>
              </w:rPr>
            </w:r>
            <w:r w:rsidR="00B43210" w:rsidRPr="00B43210">
              <w:rPr>
                <w:rFonts w:ascii="Arial" w:eastAsia="Times New Roman" w:hAnsi="Arial" w:cs="Times New Roman"/>
                <w:noProof/>
                <w:webHidden/>
                <w:sz w:val="24"/>
                <w:szCs w:val="20"/>
                <w:lang w:eastAsia="en-GB"/>
              </w:rPr>
              <w:fldChar w:fldCharType="separate"/>
            </w:r>
            <w:r w:rsidR="00B43210" w:rsidRPr="00B43210">
              <w:rPr>
                <w:rFonts w:ascii="Arial" w:eastAsia="Times New Roman" w:hAnsi="Arial" w:cs="Times New Roman"/>
                <w:noProof/>
                <w:webHidden/>
                <w:sz w:val="24"/>
                <w:szCs w:val="20"/>
                <w:lang w:eastAsia="en-GB"/>
              </w:rPr>
              <w:t>10</w:t>
            </w:r>
            <w:r w:rsidR="00B43210" w:rsidRPr="00B43210">
              <w:rPr>
                <w:rFonts w:ascii="Arial" w:eastAsia="Times New Roman" w:hAnsi="Arial" w:cs="Times New Roman"/>
                <w:noProof/>
                <w:webHidden/>
                <w:sz w:val="24"/>
                <w:szCs w:val="20"/>
                <w:lang w:eastAsia="en-GB"/>
              </w:rPr>
              <w:fldChar w:fldCharType="end"/>
            </w:r>
          </w:hyperlink>
        </w:p>
        <w:p w14:paraId="6713033F" w14:textId="77777777" w:rsidR="00B43210" w:rsidRPr="00B43210" w:rsidRDefault="00F05F80" w:rsidP="00B43210">
          <w:pPr>
            <w:tabs>
              <w:tab w:val="left" w:pos="426"/>
              <w:tab w:val="right" w:leader="dot" w:pos="9038"/>
            </w:tabs>
            <w:spacing w:after="100" w:line="240" w:lineRule="auto"/>
            <w:rPr>
              <w:rFonts w:eastAsiaTheme="minorEastAsia"/>
              <w:noProof/>
              <w:lang w:eastAsia="en-GB"/>
            </w:rPr>
          </w:pPr>
          <w:hyperlink w:anchor="_Toc112322180" w:history="1">
            <w:r w:rsidR="00B43210" w:rsidRPr="00B43210">
              <w:rPr>
                <w:rFonts w:ascii="Arial" w:eastAsiaTheme="majorEastAsia" w:hAnsi="Arial" w:cs="Arial"/>
                <w:noProof/>
                <w:color w:val="0563C1" w:themeColor="hyperlink"/>
                <w:sz w:val="24"/>
                <w:szCs w:val="20"/>
                <w:u w:val="single"/>
              </w:rPr>
              <w:t>13.</w:t>
            </w:r>
            <w:r w:rsidR="00B43210" w:rsidRPr="00B43210">
              <w:rPr>
                <w:rFonts w:eastAsiaTheme="minorEastAsia"/>
                <w:noProof/>
                <w:lang w:eastAsia="en-GB"/>
              </w:rPr>
              <w:tab/>
            </w:r>
            <w:r w:rsidR="00B43210" w:rsidRPr="00B43210">
              <w:rPr>
                <w:rFonts w:ascii="Arial" w:eastAsiaTheme="majorEastAsia" w:hAnsi="Arial" w:cs="Arial"/>
                <w:noProof/>
                <w:color w:val="0563C1" w:themeColor="hyperlink"/>
                <w:sz w:val="24"/>
                <w:szCs w:val="20"/>
                <w:u w:val="single"/>
              </w:rPr>
              <w:t>Costs</w:t>
            </w:r>
            <w:r w:rsidR="00B43210" w:rsidRPr="00B43210">
              <w:rPr>
                <w:rFonts w:ascii="Arial" w:eastAsia="Times New Roman" w:hAnsi="Arial" w:cs="Times New Roman"/>
                <w:noProof/>
                <w:webHidden/>
                <w:sz w:val="24"/>
                <w:szCs w:val="20"/>
                <w:lang w:eastAsia="en-GB"/>
              </w:rPr>
              <w:tab/>
            </w:r>
            <w:r w:rsidR="00B43210" w:rsidRPr="00B43210">
              <w:rPr>
                <w:rFonts w:ascii="Arial" w:eastAsia="Times New Roman" w:hAnsi="Arial" w:cs="Times New Roman"/>
                <w:noProof/>
                <w:webHidden/>
                <w:sz w:val="24"/>
                <w:szCs w:val="20"/>
                <w:lang w:eastAsia="en-GB"/>
              </w:rPr>
              <w:fldChar w:fldCharType="begin"/>
            </w:r>
            <w:r w:rsidR="00B43210" w:rsidRPr="00B43210">
              <w:rPr>
                <w:rFonts w:ascii="Arial" w:eastAsia="Times New Roman" w:hAnsi="Arial" w:cs="Times New Roman"/>
                <w:noProof/>
                <w:webHidden/>
                <w:sz w:val="24"/>
                <w:szCs w:val="20"/>
                <w:lang w:eastAsia="en-GB"/>
              </w:rPr>
              <w:instrText xml:space="preserve"> PAGEREF _Toc112322180 \h </w:instrText>
            </w:r>
            <w:r w:rsidR="00B43210" w:rsidRPr="00B43210">
              <w:rPr>
                <w:rFonts w:ascii="Arial" w:eastAsia="Times New Roman" w:hAnsi="Arial" w:cs="Times New Roman"/>
                <w:noProof/>
                <w:webHidden/>
                <w:sz w:val="24"/>
                <w:szCs w:val="20"/>
                <w:lang w:eastAsia="en-GB"/>
              </w:rPr>
            </w:r>
            <w:r w:rsidR="00B43210" w:rsidRPr="00B43210">
              <w:rPr>
                <w:rFonts w:ascii="Arial" w:eastAsia="Times New Roman" w:hAnsi="Arial" w:cs="Times New Roman"/>
                <w:noProof/>
                <w:webHidden/>
                <w:sz w:val="24"/>
                <w:szCs w:val="20"/>
                <w:lang w:eastAsia="en-GB"/>
              </w:rPr>
              <w:fldChar w:fldCharType="separate"/>
            </w:r>
            <w:r w:rsidR="00B43210" w:rsidRPr="00B43210">
              <w:rPr>
                <w:rFonts w:ascii="Arial" w:eastAsia="Times New Roman" w:hAnsi="Arial" w:cs="Times New Roman"/>
                <w:noProof/>
                <w:webHidden/>
                <w:sz w:val="24"/>
                <w:szCs w:val="20"/>
                <w:lang w:eastAsia="en-GB"/>
              </w:rPr>
              <w:t>10</w:t>
            </w:r>
            <w:r w:rsidR="00B43210" w:rsidRPr="00B43210">
              <w:rPr>
                <w:rFonts w:ascii="Arial" w:eastAsia="Times New Roman" w:hAnsi="Arial" w:cs="Times New Roman"/>
                <w:noProof/>
                <w:webHidden/>
                <w:sz w:val="24"/>
                <w:szCs w:val="20"/>
                <w:lang w:eastAsia="en-GB"/>
              </w:rPr>
              <w:fldChar w:fldCharType="end"/>
            </w:r>
          </w:hyperlink>
        </w:p>
        <w:p w14:paraId="5F708265" w14:textId="77777777" w:rsidR="00B43210" w:rsidRPr="00B43210" w:rsidRDefault="00F05F80" w:rsidP="00B43210">
          <w:pPr>
            <w:tabs>
              <w:tab w:val="left" w:pos="426"/>
              <w:tab w:val="right" w:leader="dot" w:pos="9038"/>
            </w:tabs>
            <w:spacing w:after="100" w:line="240" w:lineRule="auto"/>
            <w:rPr>
              <w:rFonts w:eastAsiaTheme="minorEastAsia"/>
              <w:noProof/>
              <w:lang w:eastAsia="en-GB"/>
            </w:rPr>
          </w:pPr>
          <w:hyperlink w:anchor="_Toc112322181" w:history="1">
            <w:r w:rsidR="00B43210" w:rsidRPr="00B43210">
              <w:rPr>
                <w:rFonts w:ascii="Arial" w:eastAsiaTheme="majorEastAsia" w:hAnsi="Arial" w:cs="Arial"/>
                <w:noProof/>
                <w:color w:val="0563C1" w:themeColor="hyperlink"/>
                <w:sz w:val="24"/>
                <w:szCs w:val="20"/>
                <w:u w:val="single"/>
              </w:rPr>
              <w:t>14.</w:t>
            </w:r>
            <w:r w:rsidR="00B43210" w:rsidRPr="00B43210">
              <w:rPr>
                <w:rFonts w:eastAsiaTheme="minorEastAsia"/>
                <w:noProof/>
                <w:lang w:eastAsia="en-GB"/>
              </w:rPr>
              <w:tab/>
            </w:r>
            <w:r w:rsidR="00B43210" w:rsidRPr="00B43210">
              <w:rPr>
                <w:rFonts w:ascii="Arial" w:eastAsiaTheme="majorEastAsia" w:hAnsi="Arial" w:cs="Arial"/>
                <w:noProof/>
                <w:color w:val="0563C1" w:themeColor="hyperlink"/>
                <w:sz w:val="24"/>
                <w:szCs w:val="20"/>
                <w:u w:val="single"/>
              </w:rPr>
              <w:t>Further information</w:t>
            </w:r>
            <w:r w:rsidR="00B43210" w:rsidRPr="00B43210">
              <w:rPr>
                <w:rFonts w:ascii="Arial" w:eastAsia="Times New Roman" w:hAnsi="Arial" w:cs="Times New Roman"/>
                <w:noProof/>
                <w:webHidden/>
                <w:sz w:val="24"/>
                <w:szCs w:val="20"/>
                <w:lang w:eastAsia="en-GB"/>
              </w:rPr>
              <w:tab/>
            </w:r>
            <w:r w:rsidR="00B43210" w:rsidRPr="00B43210">
              <w:rPr>
                <w:rFonts w:ascii="Arial" w:eastAsia="Times New Roman" w:hAnsi="Arial" w:cs="Times New Roman"/>
                <w:noProof/>
                <w:webHidden/>
                <w:sz w:val="24"/>
                <w:szCs w:val="20"/>
                <w:lang w:eastAsia="en-GB"/>
              </w:rPr>
              <w:fldChar w:fldCharType="begin"/>
            </w:r>
            <w:r w:rsidR="00B43210" w:rsidRPr="00B43210">
              <w:rPr>
                <w:rFonts w:ascii="Arial" w:eastAsia="Times New Roman" w:hAnsi="Arial" w:cs="Times New Roman"/>
                <w:noProof/>
                <w:webHidden/>
                <w:sz w:val="24"/>
                <w:szCs w:val="20"/>
                <w:lang w:eastAsia="en-GB"/>
              </w:rPr>
              <w:instrText xml:space="preserve"> PAGEREF _Toc112322181 \h </w:instrText>
            </w:r>
            <w:r w:rsidR="00B43210" w:rsidRPr="00B43210">
              <w:rPr>
                <w:rFonts w:ascii="Arial" w:eastAsia="Times New Roman" w:hAnsi="Arial" w:cs="Times New Roman"/>
                <w:noProof/>
                <w:webHidden/>
                <w:sz w:val="24"/>
                <w:szCs w:val="20"/>
                <w:lang w:eastAsia="en-GB"/>
              </w:rPr>
            </w:r>
            <w:r w:rsidR="00B43210" w:rsidRPr="00B43210">
              <w:rPr>
                <w:rFonts w:ascii="Arial" w:eastAsia="Times New Roman" w:hAnsi="Arial" w:cs="Times New Roman"/>
                <w:noProof/>
                <w:webHidden/>
                <w:sz w:val="24"/>
                <w:szCs w:val="20"/>
                <w:lang w:eastAsia="en-GB"/>
              </w:rPr>
              <w:fldChar w:fldCharType="separate"/>
            </w:r>
            <w:r w:rsidR="00B43210" w:rsidRPr="00B43210">
              <w:rPr>
                <w:rFonts w:ascii="Arial" w:eastAsia="Times New Roman" w:hAnsi="Arial" w:cs="Times New Roman"/>
                <w:noProof/>
                <w:webHidden/>
                <w:sz w:val="24"/>
                <w:szCs w:val="20"/>
                <w:lang w:eastAsia="en-GB"/>
              </w:rPr>
              <w:t>11</w:t>
            </w:r>
            <w:r w:rsidR="00B43210" w:rsidRPr="00B43210">
              <w:rPr>
                <w:rFonts w:ascii="Arial" w:eastAsia="Times New Roman" w:hAnsi="Arial" w:cs="Times New Roman"/>
                <w:noProof/>
                <w:webHidden/>
                <w:sz w:val="24"/>
                <w:szCs w:val="20"/>
                <w:lang w:eastAsia="en-GB"/>
              </w:rPr>
              <w:fldChar w:fldCharType="end"/>
            </w:r>
          </w:hyperlink>
        </w:p>
        <w:p w14:paraId="7A4735DA" w14:textId="77777777" w:rsidR="00B43210" w:rsidRPr="00B43210" w:rsidRDefault="00F05F80" w:rsidP="00B43210">
          <w:pPr>
            <w:tabs>
              <w:tab w:val="right" w:leader="dot" w:pos="9038"/>
            </w:tabs>
            <w:spacing w:after="100" w:line="240" w:lineRule="auto"/>
            <w:rPr>
              <w:rFonts w:eastAsiaTheme="minorEastAsia"/>
              <w:noProof/>
              <w:lang w:eastAsia="en-GB"/>
            </w:rPr>
          </w:pPr>
          <w:hyperlink w:anchor="_Toc112322182" w:history="1">
            <w:r w:rsidR="00B43210" w:rsidRPr="00B43210">
              <w:rPr>
                <w:rFonts w:ascii="Arial" w:eastAsiaTheme="majorEastAsia" w:hAnsi="Arial" w:cs="Arial"/>
                <w:noProof/>
                <w:color w:val="0563C1" w:themeColor="hyperlink"/>
                <w:sz w:val="24"/>
                <w:szCs w:val="20"/>
                <w:u w:val="single"/>
              </w:rPr>
              <w:t>Appendix 1 – Criteria for assessing impact and likelihood</w:t>
            </w:r>
            <w:r w:rsidR="00B43210" w:rsidRPr="00B43210">
              <w:rPr>
                <w:rFonts w:ascii="Arial" w:eastAsia="Times New Roman" w:hAnsi="Arial" w:cs="Times New Roman"/>
                <w:noProof/>
                <w:webHidden/>
                <w:sz w:val="24"/>
                <w:szCs w:val="20"/>
                <w:lang w:eastAsia="en-GB"/>
              </w:rPr>
              <w:tab/>
            </w:r>
            <w:r w:rsidR="00B43210" w:rsidRPr="00B43210">
              <w:rPr>
                <w:rFonts w:ascii="Arial" w:eastAsia="Times New Roman" w:hAnsi="Arial" w:cs="Times New Roman"/>
                <w:noProof/>
                <w:webHidden/>
                <w:sz w:val="24"/>
                <w:szCs w:val="20"/>
                <w:lang w:eastAsia="en-GB"/>
              </w:rPr>
              <w:fldChar w:fldCharType="begin"/>
            </w:r>
            <w:r w:rsidR="00B43210" w:rsidRPr="00B43210">
              <w:rPr>
                <w:rFonts w:ascii="Arial" w:eastAsia="Times New Roman" w:hAnsi="Arial" w:cs="Times New Roman"/>
                <w:noProof/>
                <w:webHidden/>
                <w:sz w:val="24"/>
                <w:szCs w:val="20"/>
                <w:lang w:eastAsia="en-GB"/>
              </w:rPr>
              <w:instrText xml:space="preserve"> PAGEREF _Toc112322182 \h </w:instrText>
            </w:r>
            <w:r w:rsidR="00B43210" w:rsidRPr="00B43210">
              <w:rPr>
                <w:rFonts w:ascii="Arial" w:eastAsia="Times New Roman" w:hAnsi="Arial" w:cs="Times New Roman"/>
                <w:noProof/>
                <w:webHidden/>
                <w:sz w:val="24"/>
                <w:szCs w:val="20"/>
                <w:lang w:eastAsia="en-GB"/>
              </w:rPr>
            </w:r>
            <w:r w:rsidR="00B43210" w:rsidRPr="00B43210">
              <w:rPr>
                <w:rFonts w:ascii="Arial" w:eastAsia="Times New Roman" w:hAnsi="Arial" w:cs="Times New Roman"/>
                <w:noProof/>
                <w:webHidden/>
                <w:sz w:val="24"/>
                <w:szCs w:val="20"/>
                <w:lang w:eastAsia="en-GB"/>
              </w:rPr>
              <w:fldChar w:fldCharType="separate"/>
            </w:r>
            <w:r w:rsidR="00B43210" w:rsidRPr="00B43210">
              <w:rPr>
                <w:rFonts w:ascii="Arial" w:eastAsia="Times New Roman" w:hAnsi="Arial" w:cs="Times New Roman"/>
                <w:noProof/>
                <w:webHidden/>
                <w:sz w:val="24"/>
                <w:szCs w:val="20"/>
                <w:lang w:eastAsia="en-GB"/>
              </w:rPr>
              <w:t>12</w:t>
            </w:r>
            <w:r w:rsidR="00B43210" w:rsidRPr="00B43210">
              <w:rPr>
                <w:rFonts w:ascii="Arial" w:eastAsia="Times New Roman" w:hAnsi="Arial" w:cs="Times New Roman"/>
                <w:noProof/>
                <w:webHidden/>
                <w:sz w:val="24"/>
                <w:szCs w:val="20"/>
                <w:lang w:eastAsia="en-GB"/>
              </w:rPr>
              <w:fldChar w:fldCharType="end"/>
            </w:r>
          </w:hyperlink>
        </w:p>
        <w:p w14:paraId="18E9F23F" w14:textId="77777777" w:rsidR="00B43210" w:rsidRPr="00B43210" w:rsidRDefault="00B43210" w:rsidP="00B43210">
          <w:pPr>
            <w:spacing w:after="0" w:line="240" w:lineRule="auto"/>
            <w:rPr>
              <w:rFonts w:ascii="Arial" w:eastAsia="Times New Roman" w:hAnsi="Arial" w:cs="Times New Roman"/>
              <w:sz w:val="24"/>
              <w:szCs w:val="20"/>
              <w:lang w:eastAsia="en-GB"/>
            </w:rPr>
          </w:pPr>
          <w:r w:rsidRPr="00B43210">
            <w:rPr>
              <w:rFonts w:ascii="Arial" w:eastAsia="Times New Roman" w:hAnsi="Arial" w:cs="Times New Roman"/>
              <w:b/>
              <w:bCs/>
              <w:noProof/>
              <w:sz w:val="24"/>
              <w:szCs w:val="20"/>
              <w:lang w:eastAsia="en-GB"/>
            </w:rPr>
            <w:fldChar w:fldCharType="end"/>
          </w:r>
        </w:p>
      </w:sdtContent>
    </w:sdt>
    <w:p w14:paraId="61FF0CB6" w14:textId="77777777" w:rsidR="00B43210" w:rsidRPr="00B43210" w:rsidRDefault="00B43210" w:rsidP="00B43210">
      <w:pPr>
        <w:spacing w:after="0" w:line="240" w:lineRule="auto"/>
        <w:rPr>
          <w:rFonts w:ascii="Arial Rounded MT Bold" w:eastAsia="Calibri" w:hAnsi="Arial Rounded MT Bold" w:cs="Times New Roman"/>
          <w:b/>
          <w:color w:val="7C298E"/>
          <w:sz w:val="72"/>
          <w:szCs w:val="72"/>
        </w:rPr>
      </w:pPr>
    </w:p>
    <w:p w14:paraId="10979A4E" w14:textId="77777777" w:rsidR="00B43210" w:rsidRPr="00B43210" w:rsidRDefault="00B43210" w:rsidP="00B43210">
      <w:pPr>
        <w:spacing w:after="0" w:line="240" w:lineRule="auto"/>
        <w:rPr>
          <w:rFonts w:ascii="Arial Rounded MT Bold" w:eastAsia="Calibri" w:hAnsi="Arial Rounded MT Bold" w:cs="Times New Roman"/>
          <w:b/>
          <w:color w:val="7C298E"/>
          <w:sz w:val="72"/>
          <w:szCs w:val="72"/>
        </w:rPr>
      </w:pPr>
    </w:p>
    <w:p w14:paraId="2307634D" w14:textId="77777777" w:rsidR="00B43210" w:rsidRPr="00B43210" w:rsidRDefault="00B43210" w:rsidP="00B43210">
      <w:pPr>
        <w:spacing w:after="0" w:line="240" w:lineRule="auto"/>
        <w:rPr>
          <w:rFonts w:ascii="Arial Rounded MT Bold" w:eastAsia="Calibri" w:hAnsi="Arial Rounded MT Bold" w:cs="Times New Roman"/>
          <w:b/>
          <w:color w:val="7C298E"/>
          <w:sz w:val="72"/>
          <w:szCs w:val="72"/>
        </w:rPr>
      </w:pPr>
    </w:p>
    <w:p w14:paraId="6D7946F4" w14:textId="77777777" w:rsidR="00B43210" w:rsidRPr="00B43210" w:rsidRDefault="00B43210" w:rsidP="00B43210">
      <w:pPr>
        <w:spacing w:after="0" w:line="240" w:lineRule="auto"/>
        <w:rPr>
          <w:rFonts w:ascii="Arial Rounded MT Bold" w:eastAsia="Calibri" w:hAnsi="Arial Rounded MT Bold" w:cs="Times New Roman"/>
          <w:b/>
          <w:color w:val="7C298E"/>
          <w:sz w:val="72"/>
          <w:szCs w:val="72"/>
        </w:rPr>
      </w:pPr>
    </w:p>
    <w:p w14:paraId="60A3F181" w14:textId="77777777" w:rsidR="00B43210" w:rsidRPr="00B43210" w:rsidRDefault="00B43210" w:rsidP="00B43210">
      <w:pPr>
        <w:spacing w:after="0" w:line="240" w:lineRule="auto"/>
        <w:rPr>
          <w:rFonts w:ascii="Arial Rounded MT Bold" w:eastAsia="Calibri" w:hAnsi="Arial Rounded MT Bold" w:cs="Times New Roman"/>
          <w:b/>
          <w:color w:val="7C298E"/>
          <w:sz w:val="72"/>
          <w:szCs w:val="72"/>
        </w:rPr>
      </w:pPr>
    </w:p>
    <w:p w14:paraId="0C74CD3D" w14:textId="77777777" w:rsidR="00B43210" w:rsidRPr="00B43210" w:rsidRDefault="00B43210" w:rsidP="00B43210">
      <w:pPr>
        <w:spacing w:after="0" w:line="240" w:lineRule="auto"/>
        <w:rPr>
          <w:rFonts w:ascii="Arial Rounded MT Bold" w:eastAsia="Calibri" w:hAnsi="Arial Rounded MT Bold" w:cs="Times New Roman"/>
          <w:b/>
          <w:color w:val="7C298E"/>
          <w:sz w:val="72"/>
          <w:szCs w:val="72"/>
        </w:rPr>
        <w:sectPr w:rsidR="00B43210" w:rsidRPr="00B43210" w:rsidSect="006450DD">
          <w:headerReference w:type="default" r:id="rId10"/>
          <w:headerReference w:type="first" r:id="rId11"/>
          <w:footerReference w:type="first" r:id="rId12"/>
          <w:pgSz w:w="11906" w:h="16838"/>
          <w:pgMar w:top="1440" w:right="1440" w:bottom="1440" w:left="1418" w:header="708" w:footer="708" w:gutter="0"/>
          <w:cols w:space="708"/>
          <w:titlePg/>
          <w:docGrid w:linePitch="360"/>
        </w:sectPr>
      </w:pPr>
    </w:p>
    <w:p w14:paraId="77F25BCC" w14:textId="77777777" w:rsidR="00B43210" w:rsidRPr="00B43210" w:rsidRDefault="00B43210" w:rsidP="00B43210">
      <w:pPr>
        <w:spacing w:after="0" w:line="240" w:lineRule="auto"/>
        <w:rPr>
          <w:rFonts w:ascii="Arial Rounded MT Bold" w:eastAsia="Calibri" w:hAnsi="Arial Rounded MT Bold" w:cs="Times New Roman"/>
          <w:b/>
          <w:color w:val="7C298E"/>
          <w:sz w:val="72"/>
          <w:szCs w:val="72"/>
        </w:rPr>
        <w:sectPr w:rsidR="00B43210" w:rsidRPr="00B43210" w:rsidSect="006B0026">
          <w:type w:val="continuous"/>
          <w:pgSz w:w="11906" w:h="16838"/>
          <w:pgMar w:top="1440" w:right="1440" w:bottom="1440" w:left="1418" w:header="708" w:footer="708" w:gutter="0"/>
          <w:cols w:space="708"/>
          <w:docGrid w:linePitch="360"/>
        </w:sectPr>
      </w:pPr>
    </w:p>
    <w:p w14:paraId="27B89B9E" w14:textId="77777777" w:rsidR="00B43210" w:rsidRPr="00B43210" w:rsidRDefault="00B43210" w:rsidP="00B43210">
      <w:pPr>
        <w:spacing w:after="0" w:line="240" w:lineRule="auto"/>
        <w:rPr>
          <w:rFonts w:ascii="Arial Rounded MT Bold" w:eastAsia="Calibri" w:hAnsi="Arial Rounded MT Bold" w:cs="Times New Roman"/>
          <w:b/>
          <w:color w:val="7C298E"/>
          <w:sz w:val="72"/>
          <w:szCs w:val="72"/>
        </w:rPr>
        <w:sectPr w:rsidR="00B43210" w:rsidRPr="00B43210" w:rsidSect="006B0026">
          <w:type w:val="continuous"/>
          <w:pgSz w:w="11906" w:h="16838"/>
          <w:pgMar w:top="1440" w:right="1440" w:bottom="1440" w:left="1418" w:header="708" w:footer="708" w:gutter="0"/>
          <w:cols w:space="708"/>
          <w:docGrid w:linePitch="360"/>
        </w:sectPr>
      </w:pPr>
    </w:p>
    <w:p w14:paraId="7036D5A3" w14:textId="77777777" w:rsidR="00B43210" w:rsidRPr="00B43210" w:rsidRDefault="00B43210" w:rsidP="00B43210">
      <w:pPr>
        <w:spacing w:after="0" w:line="240" w:lineRule="auto"/>
        <w:rPr>
          <w:rFonts w:ascii="Arial" w:eastAsia="Calibri" w:hAnsi="Arial" w:cs="Arial"/>
          <w:color w:val="009DDD"/>
          <w:sz w:val="24"/>
          <w:szCs w:val="24"/>
        </w:rPr>
        <w:sectPr w:rsidR="00B43210" w:rsidRPr="00B43210" w:rsidSect="006B0026">
          <w:footerReference w:type="default" r:id="rId13"/>
          <w:type w:val="continuous"/>
          <w:pgSz w:w="11906" w:h="16838"/>
          <w:pgMar w:top="1440" w:right="1440" w:bottom="1440" w:left="1418" w:header="708" w:footer="708" w:gutter="0"/>
          <w:cols w:space="708"/>
          <w:docGrid w:linePitch="360"/>
        </w:sectPr>
      </w:pPr>
    </w:p>
    <w:p w14:paraId="02AEB4DF" w14:textId="77777777" w:rsidR="00B43210" w:rsidRPr="00B43210" w:rsidRDefault="00B43210" w:rsidP="00B43210">
      <w:pPr>
        <w:spacing w:after="0" w:line="240" w:lineRule="auto"/>
        <w:rPr>
          <w:rFonts w:ascii="Arial" w:eastAsia="Calibri" w:hAnsi="Arial" w:cs="Arial"/>
          <w:b/>
          <w:sz w:val="24"/>
          <w:szCs w:val="24"/>
        </w:rPr>
      </w:pPr>
    </w:p>
    <w:p w14:paraId="035D7CCC" w14:textId="77777777" w:rsidR="00B43210" w:rsidRPr="00B43210" w:rsidRDefault="00B43210" w:rsidP="00B43210">
      <w:pPr>
        <w:keepNext/>
        <w:keepLines/>
        <w:numPr>
          <w:ilvl w:val="0"/>
          <w:numId w:val="8"/>
        </w:numPr>
        <w:tabs>
          <w:tab w:val="center" w:pos="4513"/>
          <w:tab w:val="right" w:pos="9026"/>
        </w:tabs>
        <w:spacing w:after="0" w:line="240" w:lineRule="auto"/>
        <w:ind w:left="0" w:hanging="709"/>
        <w:outlineLvl w:val="0"/>
        <w:rPr>
          <w:rFonts w:ascii="Arial" w:eastAsiaTheme="majorEastAsia" w:hAnsi="Arial" w:cs="Arial"/>
          <w:b/>
          <w:color w:val="61207F"/>
          <w:sz w:val="24"/>
          <w:szCs w:val="24"/>
        </w:rPr>
      </w:pPr>
      <w:bookmarkStart w:id="1" w:name="_Toc112316687"/>
      <w:bookmarkStart w:id="2" w:name="_Toc112322166"/>
      <w:r w:rsidRPr="00B43210">
        <w:rPr>
          <w:rFonts w:ascii="Arial" w:eastAsiaTheme="majorEastAsia" w:hAnsi="Arial" w:cs="Arial"/>
          <w:b/>
          <w:color w:val="61207F"/>
          <w:sz w:val="24"/>
          <w:szCs w:val="24"/>
        </w:rPr>
        <w:lastRenderedPageBreak/>
        <w:t>Introduction</w:t>
      </w:r>
      <w:bookmarkEnd w:id="1"/>
      <w:bookmarkEnd w:id="2"/>
    </w:p>
    <w:p w14:paraId="348950EA" w14:textId="77777777" w:rsidR="00B43210" w:rsidRPr="00B43210" w:rsidRDefault="00B43210" w:rsidP="00B43210">
      <w:pPr>
        <w:spacing w:after="0" w:line="240" w:lineRule="auto"/>
        <w:ind w:hanging="709"/>
        <w:rPr>
          <w:rFonts w:ascii="Arial" w:eastAsia="Calibri" w:hAnsi="Arial" w:cs="Arial"/>
          <w:sz w:val="24"/>
          <w:szCs w:val="24"/>
        </w:rPr>
      </w:pPr>
    </w:p>
    <w:p w14:paraId="12F1F153" w14:textId="77777777" w:rsidR="00B43210" w:rsidRPr="00B43210" w:rsidRDefault="00B43210" w:rsidP="00B43210">
      <w:pPr>
        <w:autoSpaceDE w:val="0"/>
        <w:autoSpaceDN w:val="0"/>
        <w:adjustRightInd w:val="0"/>
        <w:spacing w:after="0" w:line="240" w:lineRule="auto"/>
        <w:ind w:hanging="709"/>
        <w:rPr>
          <w:rFonts w:ascii="Arial" w:eastAsia="Calibri" w:hAnsi="Arial" w:cs="Arial"/>
          <w:color w:val="000000" w:themeColor="text1"/>
          <w:sz w:val="24"/>
          <w:szCs w:val="24"/>
        </w:rPr>
      </w:pPr>
      <w:r w:rsidRPr="00B43210">
        <w:rPr>
          <w:rFonts w:ascii="Arial" w:eastAsia="Calibri" w:hAnsi="Arial" w:cs="Arial"/>
          <w:sz w:val="24"/>
          <w:szCs w:val="24"/>
        </w:rPr>
        <w:t>1.1</w:t>
      </w:r>
      <w:r w:rsidRPr="00B43210">
        <w:rPr>
          <w:rFonts w:ascii="Arial" w:eastAsia="Calibri" w:hAnsi="Arial" w:cs="Arial"/>
          <w:sz w:val="24"/>
          <w:szCs w:val="24"/>
        </w:rPr>
        <w:tab/>
      </w:r>
      <w:r w:rsidRPr="00B43210">
        <w:rPr>
          <w:rFonts w:ascii="Arial" w:eastAsia="Calibri" w:hAnsi="Arial" w:cs="Arial"/>
          <w:color w:val="000000" w:themeColor="text1"/>
          <w:sz w:val="24"/>
          <w:szCs w:val="24"/>
        </w:rPr>
        <w:t>This is the Risk Strategy of the Cambridgeshire Pension Fund ("the Fund"), part of the Local Government Pension Scheme ("LGPS") managed and administered by Cambridgeshire County Council ("the Administering Authority"). The Risk Strategy details the Fund’s approach to managing risk including:</w:t>
      </w:r>
    </w:p>
    <w:p w14:paraId="66C3BCF4" w14:textId="77777777" w:rsidR="00B43210" w:rsidRPr="00B43210" w:rsidRDefault="00B43210" w:rsidP="00B43210">
      <w:pPr>
        <w:autoSpaceDE w:val="0"/>
        <w:autoSpaceDN w:val="0"/>
        <w:adjustRightInd w:val="0"/>
        <w:spacing w:after="0" w:line="240" w:lineRule="auto"/>
        <w:ind w:hanging="567"/>
        <w:rPr>
          <w:rFonts w:ascii="Arial" w:eastAsia="Calibri" w:hAnsi="Arial" w:cs="Arial"/>
          <w:color w:val="000000" w:themeColor="text1"/>
          <w:sz w:val="24"/>
          <w:szCs w:val="24"/>
        </w:rPr>
      </w:pPr>
    </w:p>
    <w:p w14:paraId="7E34BCE2"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the risk philosophy for the management of the Fund, and in particular attitudes to, and appetite for, risk</w:t>
      </w:r>
    </w:p>
    <w:p w14:paraId="483F2356"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how risk management is implemented</w:t>
      </w:r>
    </w:p>
    <w:p w14:paraId="393B7030"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risk management responsibilities</w:t>
      </w:r>
    </w:p>
    <w:p w14:paraId="384BA207"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the procedures that are adopted in the Fund's risk management process</w:t>
      </w:r>
    </w:p>
    <w:p w14:paraId="4893B00C"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the key internal controls operated by the Administering Authority and other parties responsible for the management of the Fund</w:t>
      </w:r>
    </w:p>
    <w:p w14:paraId="64D59D77" w14:textId="77777777" w:rsidR="00B43210" w:rsidRPr="00B43210" w:rsidRDefault="00B43210" w:rsidP="00B43210">
      <w:pPr>
        <w:autoSpaceDE w:val="0"/>
        <w:autoSpaceDN w:val="0"/>
        <w:adjustRightInd w:val="0"/>
        <w:spacing w:after="0" w:line="240" w:lineRule="auto"/>
        <w:ind w:left="720"/>
        <w:contextualSpacing/>
        <w:jc w:val="both"/>
        <w:rPr>
          <w:rFonts w:ascii="Arial" w:eastAsia="Calibri" w:hAnsi="Arial" w:cs="Arial"/>
          <w:color w:val="000000" w:themeColor="text1"/>
          <w:sz w:val="24"/>
          <w:szCs w:val="24"/>
        </w:rPr>
      </w:pPr>
    </w:p>
    <w:p w14:paraId="7206C7A7" w14:textId="77777777" w:rsidR="00B43210" w:rsidRPr="00B43210" w:rsidRDefault="00B43210" w:rsidP="00B43210">
      <w:pPr>
        <w:keepNext/>
        <w:keepLines/>
        <w:numPr>
          <w:ilvl w:val="0"/>
          <w:numId w:val="8"/>
        </w:numPr>
        <w:tabs>
          <w:tab w:val="center" w:pos="4513"/>
          <w:tab w:val="right" w:pos="9026"/>
        </w:tabs>
        <w:spacing w:after="0" w:line="240" w:lineRule="auto"/>
        <w:ind w:left="0" w:hanging="709"/>
        <w:outlineLvl w:val="0"/>
        <w:rPr>
          <w:rFonts w:ascii="Arial" w:eastAsiaTheme="majorEastAsia" w:hAnsi="Arial" w:cs="Arial"/>
          <w:b/>
          <w:color w:val="61207F"/>
          <w:sz w:val="24"/>
          <w:szCs w:val="24"/>
        </w:rPr>
      </w:pPr>
      <w:bookmarkStart w:id="3" w:name="_Toc112316688"/>
      <w:bookmarkStart w:id="4" w:name="_Toc112322167"/>
      <w:r w:rsidRPr="00B43210">
        <w:rPr>
          <w:rFonts w:ascii="Arial" w:eastAsiaTheme="majorEastAsia" w:hAnsi="Arial" w:cs="Arial"/>
          <w:b/>
          <w:color w:val="61207F"/>
          <w:sz w:val="24"/>
          <w:szCs w:val="24"/>
        </w:rPr>
        <w:t>Strategy objectives</w:t>
      </w:r>
      <w:bookmarkEnd w:id="3"/>
      <w:bookmarkEnd w:id="4"/>
      <w:r w:rsidRPr="00B43210">
        <w:rPr>
          <w:rFonts w:ascii="Arial" w:eastAsiaTheme="majorEastAsia" w:hAnsi="Arial" w:cs="Arial"/>
          <w:b/>
          <w:color w:val="61207F"/>
          <w:sz w:val="24"/>
          <w:szCs w:val="24"/>
        </w:rPr>
        <w:t xml:space="preserve"> </w:t>
      </w:r>
    </w:p>
    <w:p w14:paraId="09264151" w14:textId="77777777" w:rsidR="00B43210" w:rsidRPr="00B43210" w:rsidRDefault="00B43210" w:rsidP="00B43210">
      <w:pPr>
        <w:spacing w:after="0" w:line="240" w:lineRule="auto"/>
        <w:ind w:hanging="709"/>
        <w:rPr>
          <w:rFonts w:ascii="Arial" w:eastAsia="Calibri" w:hAnsi="Arial" w:cs="Arial"/>
          <w:b/>
          <w:sz w:val="24"/>
          <w:szCs w:val="24"/>
        </w:rPr>
      </w:pPr>
    </w:p>
    <w:p w14:paraId="1BA4666B" w14:textId="77777777" w:rsidR="00B43210" w:rsidRPr="00B43210" w:rsidRDefault="00B43210" w:rsidP="00B43210">
      <w:pPr>
        <w:autoSpaceDE w:val="0"/>
        <w:autoSpaceDN w:val="0"/>
        <w:adjustRightInd w:val="0"/>
        <w:spacing w:after="0" w:line="240" w:lineRule="auto"/>
        <w:ind w:hanging="709"/>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2.1</w:t>
      </w:r>
      <w:r w:rsidRPr="00B43210">
        <w:rPr>
          <w:rFonts w:ascii="Arial" w:eastAsia="Calibri" w:hAnsi="Arial" w:cs="Arial"/>
          <w:color w:val="000000" w:themeColor="text1"/>
          <w:sz w:val="24"/>
          <w:szCs w:val="24"/>
        </w:rPr>
        <w:tab/>
        <w:t>In relation to understanding and monitoring risk, the Administering Authority aims to:</w:t>
      </w:r>
    </w:p>
    <w:p w14:paraId="0CF9CDDF"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integrate risk management into the culture and day-to-day activities of the Fund</w:t>
      </w:r>
    </w:p>
    <w:p w14:paraId="665BA3EC"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 xml:space="preserve">raise awareness of the need for risk management by all those connected with the management of the Fund (including advisers, employers and other partners) </w:t>
      </w:r>
    </w:p>
    <w:p w14:paraId="64AC929D"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anticipate and respond positively to change</w:t>
      </w:r>
    </w:p>
    <w:p w14:paraId="4B8170DE"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minimise the probability of negative outcomes for the Fund and its stakeholders</w:t>
      </w:r>
    </w:p>
    <w:p w14:paraId="3FD3DAB3"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 xml:space="preserve">establish and maintain a robust framework and procedures for identification, analysis, assessment and management of risk, and the reporting and recording of events, based on best practice </w:t>
      </w:r>
    </w:p>
    <w:p w14:paraId="3D79EE01"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ensure consistent application of the risk management methodology across all Fund activities, including projects and partnerships.</w:t>
      </w:r>
    </w:p>
    <w:p w14:paraId="09AC6233" w14:textId="77777777" w:rsidR="00B43210" w:rsidRPr="00B43210" w:rsidRDefault="00B43210" w:rsidP="00B43210">
      <w:pPr>
        <w:autoSpaceDE w:val="0"/>
        <w:autoSpaceDN w:val="0"/>
        <w:adjustRightInd w:val="0"/>
        <w:spacing w:after="0" w:line="240" w:lineRule="auto"/>
        <w:ind w:hanging="426"/>
        <w:rPr>
          <w:rFonts w:ascii="Arial" w:eastAsia="Calibri" w:hAnsi="Arial" w:cs="Arial"/>
          <w:color w:val="000000" w:themeColor="text1"/>
          <w:sz w:val="24"/>
          <w:szCs w:val="24"/>
        </w:rPr>
      </w:pPr>
    </w:p>
    <w:p w14:paraId="353FFD18" w14:textId="77777777" w:rsidR="00B43210" w:rsidRPr="00B43210" w:rsidRDefault="00B43210" w:rsidP="00B43210">
      <w:pPr>
        <w:spacing w:after="0" w:line="240" w:lineRule="auto"/>
        <w:ind w:hanging="709"/>
        <w:rPr>
          <w:rFonts w:ascii="Arial" w:eastAsia="Calibri" w:hAnsi="Arial" w:cs="Arial"/>
          <w:color w:val="000000" w:themeColor="text1"/>
          <w:sz w:val="24"/>
          <w:szCs w:val="24"/>
        </w:rPr>
      </w:pPr>
      <w:r w:rsidRPr="00B43210">
        <w:rPr>
          <w:rFonts w:ascii="Arial" w:eastAsia="Calibri" w:hAnsi="Arial" w:cs="Arial"/>
          <w:sz w:val="24"/>
          <w:szCs w:val="24"/>
          <w:lang w:eastAsia="en-GB"/>
        </w:rPr>
        <w:t>2.2</w:t>
      </w:r>
      <w:r w:rsidRPr="00B43210">
        <w:rPr>
          <w:rFonts w:ascii="Arial" w:eastAsia="Calibri" w:hAnsi="Arial" w:cs="Arial"/>
          <w:sz w:val="24"/>
          <w:szCs w:val="24"/>
          <w:lang w:eastAsia="en-GB"/>
        </w:rPr>
        <w:tab/>
      </w:r>
      <w:r w:rsidRPr="00B43210">
        <w:rPr>
          <w:rFonts w:ascii="Arial" w:eastAsia="Calibri" w:hAnsi="Arial" w:cs="Arial"/>
          <w:color w:val="000000" w:themeColor="text1"/>
          <w:sz w:val="24"/>
          <w:szCs w:val="24"/>
        </w:rPr>
        <w:t>To assist in achieving these objectives in the management of the Fund, the Administering Authority will aim to comply with:</w:t>
      </w:r>
    </w:p>
    <w:p w14:paraId="72DD4EE4"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 xml:space="preserve">the CIPFA Managing Risk publication and </w:t>
      </w:r>
    </w:p>
    <w:p w14:paraId="2F28847A"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the Pensions Act 2004 and the Pensions Regulator's Code of Practice for Public Service Pension Schemes as they relate to managing risk.</w:t>
      </w:r>
    </w:p>
    <w:p w14:paraId="406F1BB4" w14:textId="77777777" w:rsidR="00B43210" w:rsidRPr="00B43210" w:rsidRDefault="00B43210" w:rsidP="00B43210">
      <w:pPr>
        <w:spacing w:after="0" w:line="240" w:lineRule="auto"/>
        <w:rPr>
          <w:rFonts w:ascii="Arial" w:eastAsia="Calibri" w:hAnsi="Arial" w:cs="Times New Roman"/>
          <w:sz w:val="24"/>
          <w:szCs w:val="20"/>
        </w:rPr>
      </w:pPr>
    </w:p>
    <w:p w14:paraId="0186AB00" w14:textId="77777777" w:rsidR="00B43210" w:rsidRPr="00B43210" w:rsidRDefault="00B43210" w:rsidP="00B43210">
      <w:pPr>
        <w:keepNext/>
        <w:keepLines/>
        <w:numPr>
          <w:ilvl w:val="0"/>
          <w:numId w:val="8"/>
        </w:numPr>
        <w:tabs>
          <w:tab w:val="center" w:pos="4513"/>
          <w:tab w:val="right" w:pos="9026"/>
        </w:tabs>
        <w:spacing w:after="0" w:line="240" w:lineRule="auto"/>
        <w:ind w:left="0" w:hanging="709"/>
        <w:outlineLvl w:val="0"/>
        <w:rPr>
          <w:rFonts w:ascii="Arial" w:eastAsiaTheme="majorEastAsia" w:hAnsi="Arial" w:cs="Arial"/>
          <w:b/>
          <w:color w:val="61207F"/>
          <w:sz w:val="24"/>
          <w:szCs w:val="24"/>
        </w:rPr>
      </w:pPr>
      <w:bookmarkStart w:id="5" w:name="_Toc112322168"/>
      <w:bookmarkStart w:id="6" w:name="_Toc112316689"/>
      <w:r w:rsidRPr="00B43210">
        <w:rPr>
          <w:rFonts w:ascii="Arial" w:eastAsiaTheme="majorEastAsia" w:hAnsi="Arial" w:cs="Arial"/>
          <w:b/>
          <w:color w:val="61207F"/>
          <w:sz w:val="24"/>
          <w:szCs w:val="24"/>
        </w:rPr>
        <w:t>Purpose of the strategy</w:t>
      </w:r>
      <w:bookmarkEnd w:id="5"/>
      <w:r w:rsidRPr="00B43210">
        <w:rPr>
          <w:rFonts w:ascii="Arial" w:eastAsiaTheme="majorEastAsia" w:hAnsi="Arial" w:cs="Arial"/>
          <w:b/>
          <w:color w:val="61207F"/>
          <w:sz w:val="24"/>
          <w:szCs w:val="24"/>
        </w:rPr>
        <w:t xml:space="preserve"> </w:t>
      </w:r>
    </w:p>
    <w:bookmarkEnd w:id="6"/>
    <w:p w14:paraId="265AD3FA" w14:textId="77777777" w:rsidR="00B43210" w:rsidRPr="00B43210" w:rsidRDefault="00B43210" w:rsidP="00B43210">
      <w:pPr>
        <w:spacing w:after="0" w:line="240" w:lineRule="auto"/>
        <w:rPr>
          <w:rFonts w:ascii="Arial" w:eastAsia="Calibri" w:hAnsi="Arial" w:cs="Times New Roman"/>
          <w:sz w:val="24"/>
          <w:szCs w:val="20"/>
        </w:rPr>
      </w:pPr>
    </w:p>
    <w:p w14:paraId="0582E169" w14:textId="77777777" w:rsidR="00B43210" w:rsidRPr="00B43210" w:rsidRDefault="00B43210" w:rsidP="00B43210">
      <w:pPr>
        <w:autoSpaceDE w:val="0"/>
        <w:autoSpaceDN w:val="0"/>
        <w:adjustRightInd w:val="0"/>
        <w:spacing w:after="0" w:line="240" w:lineRule="auto"/>
        <w:ind w:hanging="709"/>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3.1</w:t>
      </w:r>
      <w:r w:rsidRPr="00B43210">
        <w:rPr>
          <w:rFonts w:ascii="Arial" w:eastAsia="Calibri" w:hAnsi="Arial" w:cs="Arial"/>
          <w:color w:val="000000" w:themeColor="text1"/>
          <w:sz w:val="24"/>
          <w:szCs w:val="24"/>
        </w:rPr>
        <w:tab/>
        <w:t>The Administering Authority recognises that effective risk management is an essential element of good governance in the LGPS. By identifying and managing risks through an effective policy and risk management strategy, the Administering Authority can:</w:t>
      </w:r>
      <w:r w:rsidRPr="00B43210">
        <w:rPr>
          <w:rFonts w:ascii="Arial" w:eastAsia="Calibri" w:hAnsi="Arial" w:cs="Arial"/>
          <w:color w:val="000000" w:themeColor="text1"/>
          <w:sz w:val="24"/>
          <w:szCs w:val="24"/>
        </w:rPr>
        <w:tab/>
        <w:t xml:space="preserve"> </w:t>
      </w:r>
    </w:p>
    <w:p w14:paraId="090E31FB"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demonstrate best practice in governance</w:t>
      </w:r>
    </w:p>
    <w:p w14:paraId="00A02831"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improve financial management</w:t>
      </w:r>
    </w:p>
    <w:p w14:paraId="1B328BE6"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minimise the risk and effect of adverse conditions</w:t>
      </w:r>
    </w:p>
    <w:p w14:paraId="7D2DB933"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identify and maximise opportunities that might arise</w:t>
      </w:r>
    </w:p>
    <w:p w14:paraId="5E26E7E4"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lastRenderedPageBreak/>
        <w:t>minimise threats</w:t>
      </w:r>
    </w:p>
    <w:p w14:paraId="159AF42A"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p>
    <w:p w14:paraId="7495BD08" w14:textId="77777777" w:rsidR="00B43210" w:rsidRPr="00B43210" w:rsidRDefault="00B43210" w:rsidP="00B43210">
      <w:pPr>
        <w:autoSpaceDE w:val="0"/>
        <w:autoSpaceDN w:val="0"/>
        <w:adjustRightInd w:val="0"/>
        <w:spacing w:after="0" w:line="240" w:lineRule="auto"/>
        <w:ind w:hanging="709"/>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3.2</w:t>
      </w:r>
      <w:r w:rsidRPr="00B43210">
        <w:rPr>
          <w:rFonts w:ascii="Arial" w:eastAsia="Calibri" w:hAnsi="Arial" w:cs="Arial"/>
          <w:color w:val="000000" w:themeColor="text1"/>
          <w:sz w:val="24"/>
          <w:szCs w:val="24"/>
        </w:rPr>
        <w:tab/>
        <w:t>The Administering Authority adopts best practice risk management, which supports a structured and focused approach to managing risks and ensures risk management is an integral part in the governance of the Fund at a strategic and operational level.</w:t>
      </w:r>
    </w:p>
    <w:p w14:paraId="2F81CA94" w14:textId="77777777" w:rsidR="00B43210" w:rsidRPr="00B43210" w:rsidRDefault="00B43210" w:rsidP="00B43210">
      <w:pPr>
        <w:spacing w:after="0" w:line="240" w:lineRule="auto"/>
        <w:rPr>
          <w:rFonts w:ascii="Arial" w:eastAsia="Calibri" w:hAnsi="Arial" w:cs="Arial"/>
          <w:b/>
          <w:sz w:val="24"/>
          <w:szCs w:val="24"/>
        </w:rPr>
      </w:pPr>
    </w:p>
    <w:p w14:paraId="21454E2F" w14:textId="77777777" w:rsidR="00B43210" w:rsidRPr="00B43210" w:rsidRDefault="00B43210" w:rsidP="00B43210">
      <w:pPr>
        <w:keepNext/>
        <w:keepLines/>
        <w:numPr>
          <w:ilvl w:val="0"/>
          <w:numId w:val="8"/>
        </w:numPr>
        <w:tabs>
          <w:tab w:val="center" w:pos="4513"/>
          <w:tab w:val="right" w:pos="9026"/>
        </w:tabs>
        <w:spacing w:after="0" w:line="240" w:lineRule="auto"/>
        <w:ind w:left="0" w:hanging="709"/>
        <w:outlineLvl w:val="0"/>
        <w:rPr>
          <w:rFonts w:ascii="Arial" w:eastAsiaTheme="majorEastAsia" w:hAnsi="Arial" w:cs="Arial"/>
          <w:b/>
          <w:color w:val="61207F"/>
          <w:sz w:val="24"/>
          <w:szCs w:val="24"/>
        </w:rPr>
      </w:pPr>
      <w:bookmarkStart w:id="7" w:name="_Toc112316690"/>
      <w:bookmarkStart w:id="8" w:name="_Toc112322169"/>
      <w:r w:rsidRPr="00B43210">
        <w:rPr>
          <w:rFonts w:ascii="Arial" w:eastAsiaTheme="majorEastAsia" w:hAnsi="Arial" w:cs="Arial"/>
          <w:b/>
          <w:color w:val="61207F"/>
          <w:sz w:val="24"/>
          <w:szCs w:val="24"/>
        </w:rPr>
        <w:t>Effective date</w:t>
      </w:r>
      <w:bookmarkEnd w:id="7"/>
      <w:bookmarkEnd w:id="8"/>
      <w:r w:rsidRPr="00B43210">
        <w:rPr>
          <w:rFonts w:ascii="Arial" w:eastAsiaTheme="majorEastAsia" w:hAnsi="Arial" w:cs="Arial"/>
          <w:b/>
          <w:color w:val="61207F"/>
          <w:sz w:val="24"/>
          <w:szCs w:val="24"/>
        </w:rPr>
        <w:t xml:space="preserve"> </w:t>
      </w:r>
    </w:p>
    <w:p w14:paraId="7AD5204F" w14:textId="77777777" w:rsidR="00B43210" w:rsidRPr="00B43210" w:rsidRDefault="00B43210" w:rsidP="00B43210">
      <w:pPr>
        <w:spacing w:after="0" w:line="240" w:lineRule="auto"/>
        <w:ind w:hanging="709"/>
        <w:rPr>
          <w:rFonts w:ascii="Arial" w:eastAsia="Calibri" w:hAnsi="Arial" w:cs="Arial"/>
          <w:b/>
          <w:sz w:val="24"/>
          <w:szCs w:val="24"/>
        </w:rPr>
      </w:pPr>
    </w:p>
    <w:p w14:paraId="5D458297" w14:textId="77777777" w:rsidR="00B43210" w:rsidRPr="00B43210" w:rsidRDefault="00B43210" w:rsidP="00B43210">
      <w:pPr>
        <w:numPr>
          <w:ilvl w:val="1"/>
          <w:numId w:val="8"/>
        </w:numPr>
        <w:spacing w:after="0" w:line="240" w:lineRule="auto"/>
        <w:ind w:left="0" w:hanging="709"/>
        <w:contextualSpacing/>
        <w:rPr>
          <w:rFonts w:ascii="Arial" w:eastAsia="Calibri" w:hAnsi="Arial" w:cs="Arial"/>
          <w:sz w:val="24"/>
          <w:szCs w:val="24"/>
        </w:rPr>
      </w:pPr>
      <w:r w:rsidRPr="00B43210">
        <w:rPr>
          <w:rFonts w:ascii="Arial" w:eastAsia="Calibri" w:hAnsi="Arial" w:cs="Arial"/>
          <w:sz w:val="24"/>
          <w:szCs w:val="24"/>
        </w:rPr>
        <w:t>This policy was first approved by the Pension Fund Committee on 24 March 2016 and has been subject to the following reviews:</w:t>
      </w:r>
    </w:p>
    <w:p w14:paraId="4EAFB97D" w14:textId="77777777" w:rsidR="00B43210" w:rsidRPr="00B43210" w:rsidRDefault="00B43210" w:rsidP="00B43210">
      <w:pPr>
        <w:spacing w:after="0" w:line="240" w:lineRule="auto"/>
        <w:ind w:left="1065"/>
        <w:contextualSpacing/>
        <w:rPr>
          <w:rFonts w:ascii="Arial" w:eastAsia="Calibri" w:hAnsi="Arial" w:cs="Arial"/>
          <w:sz w:val="24"/>
          <w:szCs w:val="24"/>
        </w:rPr>
      </w:pPr>
    </w:p>
    <w:tbl>
      <w:tblPr>
        <w:tblStyle w:val="TableGrid1"/>
        <w:tblW w:w="9634" w:type="dxa"/>
        <w:tblLook w:val="04A0" w:firstRow="1" w:lastRow="0" w:firstColumn="1" w:lastColumn="0" w:noHBand="0" w:noVBand="1"/>
      </w:tblPr>
      <w:tblGrid>
        <w:gridCol w:w="2330"/>
        <w:gridCol w:w="2330"/>
        <w:gridCol w:w="4974"/>
      </w:tblGrid>
      <w:tr w:rsidR="00B43210" w:rsidRPr="00B43210" w14:paraId="56F049A2" w14:textId="77777777" w:rsidTr="00043F03">
        <w:trPr>
          <w:trHeight w:val="487"/>
        </w:trPr>
        <w:tc>
          <w:tcPr>
            <w:tcW w:w="2330" w:type="dxa"/>
            <w:shd w:val="clear" w:color="auto" w:fill="244D7A"/>
          </w:tcPr>
          <w:p w14:paraId="466BDA0F" w14:textId="77777777" w:rsidR="00B43210" w:rsidRPr="00B43210" w:rsidRDefault="00B43210" w:rsidP="00B43210">
            <w:pPr>
              <w:keepNext/>
              <w:keepLines/>
              <w:ind w:left="357" w:hanging="357"/>
              <w:jc w:val="center"/>
              <w:rPr>
                <w:rFonts w:eastAsiaTheme="majorEastAsia" w:cstheme="minorHAnsi"/>
                <w:b/>
                <w:bCs/>
                <w:color w:val="FFFFFF" w:themeColor="background1"/>
                <w:lang w:val="en-US"/>
              </w:rPr>
            </w:pPr>
            <w:r w:rsidRPr="00B43210">
              <w:rPr>
                <w:rFonts w:eastAsiaTheme="majorEastAsia" w:cstheme="minorHAnsi"/>
                <w:b/>
                <w:bCs/>
                <w:color w:val="FFFFFF" w:themeColor="background1"/>
                <w:lang w:val="en-US"/>
              </w:rPr>
              <w:t>Date of review</w:t>
            </w:r>
          </w:p>
        </w:tc>
        <w:tc>
          <w:tcPr>
            <w:tcW w:w="2330" w:type="dxa"/>
            <w:shd w:val="clear" w:color="auto" w:fill="244D7A"/>
          </w:tcPr>
          <w:p w14:paraId="32994FA3" w14:textId="77777777" w:rsidR="00B43210" w:rsidRPr="00B43210" w:rsidRDefault="00B43210" w:rsidP="00B43210">
            <w:pPr>
              <w:keepNext/>
              <w:keepLines/>
              <w:ind w:left="357" w:hanging="357"/>
              <w:jc w:val="center"/>
              <w:rPr>
                <w:rFonts w:eastAsiaTheme="majorEastAsia" w:cstheme="minorHAnsi"/>
                <w:b/>
                <w:bCs/>
                <w:color w:val="FFFFFF" w:themeColor="background1"/>
                <w:lang w:val="en-US"/>
              </w:rPr>
            </w:pPr>
            <w:r w:rsidRPr="00B43210">
              <w:rPr>
                <w:rFonts w:eastAsiaTheme="majorEastAsia" w:cstheme="minorHAnsi"/>
                <w:b/>
                <w:bCs/>
                <w:color w:val="FFFFFF" w:themeColor="background1"/>
                <w:lang w:val="en-US"/>
              </w:rPr>
              <w:t>Effective Date</w:t>
            </w:r>
          </w:p>
        </w:tc>
        <w:tc>
          <w:tcPr>
            <w:tcW w:w="4974" w:type="dxa"/>
            <w:shd w:val="clear" w:color="auto" w:fill="244D7A"/>
          </w:tcPr>
          <w:p w14:paraId="3E90E00E" w14:textId="77777777" w:rsidR="00B43210" w:rsidRPr="00B43210" w:rsidRDefault="00B43210" w:rsidP="00B43210">
            <w:pPr>
              <w:keepNext/>
              <w:keepLines/>
              <w:ind w:left="357" w:hanging="357"/>
              <w:jc w:val="center"/>
              <w:rPr>
                <w:rFonts w:eastAsiaTheme="majorEastAsia" w:cstheme="minorHAnsi"/>
                <w:b/>
                <w:bCs/>
                <w:color w:val="FFFFFF" w:themeColor="background1"/>
                <w:lang w:val="en-US"/>
              </w:rPr>
            </w:pPr>
            <w:r w:rsidRPr="00B43210">
              <w:rPr>
                <w:rFonts w:eastAsiaTheme="majorEastAsia" w:cstheme="minorHAnsi"/>
                <w:b/>
                <w:bCs/>
                <w:color w:val="FFFFFF" w:themeColor="background1"/>
                <w:lang w:val="en-US"/>
              </w:rPr>
              <w:t>Type of review</w:t>
            </w:r>
          </w:p>
        </w:tc>
      </w:tr>
      <w:tr w:rsidR="00B43210" w:rsidRPr="00B43210" w14:paraId="221D0B6F" w14:textId="77777777" w:rsidTr="00043F03">
        <w:trPr>
          <w:trHeight w:val="309"/>
        </w:trPr>
        <w:tc>
          <w:tcPr>
            <w:tcW w:w="2330" w:type="dxa"/>
          </w:tcPr>
          <w:p w14:paraId="5B45AFCE" w14:textId="45DF0D8C" w:rsidR="00B43210" w:rsidRPr="00B43210" w:rsidRDefault="00EF0A1D" w:rsidP="00B43210">
            <w:pPr>
              <w:keepNext/>
              <w:keepLines/>
              <w:rPr>
                <w:rFonts w:eastAsiaTheme="majorEastAsia" w:cstheme="minorHAnsi"/>
                <w:lang w:val="en-US"/>
              </w:rPr>
            </w:pPr>
            <w:r>
              <w:rPr>
                <w:rFonts w:eastAsiaTheme="majorEastAsia" w:cstheme="minorHAnsi"/>
                <w:lang w:val="en-US"/>
              </w:rPr>
              <w:t xml:space="preserve">28 </w:t>
            </w:r>
            <w:r w:rsidR="00B43210" w:rsidRPr="00B43210">
              <w:rPr>
                <w:rFonts w:eastAsiaTheme="majorEastAsia" w:cstheme="minorHAnsi"/>
                <w:lang w:val="en-US"/>
              </w:rPr>
              <w:t>March 2019</w:t>
            </w:r>
          </w:p>
        </w:tc>
        <w:tc>
          <w:tcPr>
            <w:tcW w:w="2330" w:type="dxa"/>
          </w:tcPr>
          <w:p w14:paraId="1B765784" w14:textId="2EBA1861" w:rsidR="00B43210" w:rsidRPr="00B43210" w:rsidRDefault="00EF0A1D" w:rsidP="00B43210">
            <w:pPr>
              <w:keepNext/>
              <w:keepLines/>
              <w:ind w:left="357" w:hanging="357"/>
              <w:rPr>
                <w:rFonts w:eastAsiaTheme="majorEastAsia" w:cstheme="minorHAnsi"/>
                <w:lang w:val="en-US"/>
              </w:rPr>
            </w:pPr>
            <w:r>
              <w:rPr>
                <w:rFonts w:eastAsiaTheme="majorEastAsia" w:cstheme="minorHAnsi"/>
                <w:lang w:val="en-US"/>
              </w:rPr>
              <w:t xml:space="preserve">29 </w:t>
            </w:r>
            <w:r w:rsidR="00B43210" w:rsidRPr="00B43210">
              <w:rPr>
                <w:rFonts w:eastAsiaTheme="majorEastAsia" w:cstheme="minorHAnsi"/>
                <w:lang w:val="en-US"/>
              </w:rPr>
              <w:t xml:space="preserve">March 2019 </w:t>
            </w:r>
          </w:p>
        </w:tc>
        <w:tc>
          <w:tcPr>
            <w:tcW w:w="4974" w:type="dxa"/>
          </w:tcPr>
          <w:p w14:paraId="26082917" w14:textId="77777777" w:rsidR="00B43210" w:rsidRPr="00B43210" w:rsidRDefault="00B43210" w:rsidP="00B43210">
            <w:pPr>
              <w:keepNext/>
              <w:keepLines/>
              <w:rPr>
                <w:rFonts w:eastAsiaTheme="majorEastAsia" w:cstheme="minorHAnsi"/>
                <w:lang w:val="en-US"/>
              </w:rPr>
            </w:pPr>
            <w:r w:rsidRPr="00B43210">
              <w:rPr>
                <w:rFonts w:eastAsiaTheme="majorEastAsia" w:cstheme="minorHAnsi"/>
                <w:lang w:val="en-US"/>
              </w:rPr>
              <w:t xml:space="preserve">Full review </w:t>
            </w:r>
          </w:p>
        </w:tc>
      </w:tr>
      <w:tr w:rsidR="00B43210" w:rsidRPr="00B43210" w14:paraId="1B8C948C" w14:textId="77777777" w:rsidTr="00043F03">
        <w:trPr>
          <w:trHeight w:val="415"/>
        </w:trPr>
        <w:tc>
          <w:tcPr>
            <w:tcW w:w="2330" w:type="dxa"/>
          </w:tcPr>
          <w:p w14:paraId="4F4C5E04" w14:textId="3F045E5C" w:rsidR="00B43210" w:rsidRPr="00B43210" w:rsidRDefault="00C953DD" w:rsidP="00B43210">
            <w:pPr>
              <w:keepNext/>
              <w:keepLines/>
              <w:rPr>
                <w:rFonts w:eastAsiaTheme="majorEastAsia" w:cstheme="minorHAnsi"/>
                <w:lang w:val="en-US"/>
              </w:rPr>
            </w:pPr>
            <w:r>
              <w:rPr>
                <w:rFonts w:eastAsiaTheme="majorEastAsia" w:cstheme="minorHAnsi"/>
                <w:lang w:val="en-US"/>
              </w:rPr>
              <w:t xml:space="preserve">14 </w:t>
            </w:r>
            <w:r w:rsidR="00B43210" w:rsidRPr="00B43210">
              <w:rPr>
                <w:rFonts w:eastAsiaTheme="majorEastAsia" w:cstheme="minorHAnsi"/>
                <w:lang w:val="en-US"/>
              </w:rPr>
              <w:t xml:space="preserve">December 2022 </w:t>
            </w:r>
          </w:p>
        </w:tc>
        <w:tc>
          <w:tcPr>
            <w:tcW w:w="2330" w:type="dxa"/>
          </w:tcPr>
          <w:p w14:paraId="3FBF9E3D" w14:textId="3D1CB524" w:rsidR="00B43210" w:rsidRPr="00B43210" w:rsidRDefault="00C953DD" w:rsidP="00B43210">
            <w:pPr>
              <w:keepNext/>
              <w:keepLines/>
              <w:ind w:left="357" w:hanging="357"/>
              <w:rPr>
                <w:rFonts w:eastAsiaTheme="majorEastAsia" w:cstheme="minorHAnsi"/>
                <w:lang w:val="en-US"/>
              </w:rPr>
            </w:pPr>
            <w:r>
              <w:rPr>
                <w:rFonts w:eastAsiaTheme="majorEastAsia" w:cstheme="minorHAnsi"/>
                <w:lang w:val="en-US"/>
              </w:rPr>
              <w:t>15 December 2022</w:t>
            </w:r>
          </w:p>
        </w:tc>
        <w:tc>
          <w:tcPr>
            <w:tcW w:w="4974" w:type="dxa"/>
          </w:tcPr>
          <w:p w14:paraId="35265B62" w14:textId="77777777" w:rsidR="00B43210" w:rsidRPr="00B43210" w:rsidRDefault="00B43210" w:rsidP="00B43210">
            <w:pPr>
              <w:keepNext/>
              <w:keepLines/>
              <w:rPr>
                <w:rFonts w:eastAsiaTheme="majorEastAsia" w:cstheme="minorHAnsi"/>
                <w:b/>
                <w:bCs/>
                <w:lang w:val="en-US"/>
              </w:rPr>
            </w:pPr>
            <w:r w:rsidRPr="00B43210">
              <w:rPr>
                <w:rFonts w:eastAsiaTheme="majorEastAsia" w:cstheme="minorHAnsi"/>
                <w:lang w:val="en-US"/>
              </w:rPr>
              <w:t xml:space="preserve">Full review - minor amendments made </w:t>
            </w:r>
          </w:p>
        </w:tc>
      </w:tr>
    </w:tbl>
    <w:p w14:paraId="7B2B7F72" w14:textId="77777777" w:rsidR="00B43210" w:rsidRPr="00B43210" w:rsidRDefault="00B43210" w:rsidP="00B43210">
      <w:pPr>
        <w:spacing w:after="0" w:line="240" w:lineRule="auto"/>
        <w:ind w:left="1065"/>
        <w:contextualSpacing/>
        <w:rPr>
          <w:rFonts w:ascii="Arial" w:eastAsia="Calibri" w:hAnsi="Arial" w:cs="Arial"/>
          <w:sz w:val="24"/>
          <w:szCs w:val="24"/>
        </w:rPr>
      </w:pPr>
    </w:p>
    <w:p w14:paraId="4EC52848" w14:textId="77777777" w:rsidR="00B43210" w:rsidRPr="00B43210" w:rsidRDefault="00B43210" w:rsidP="00B43210">
      <w:pPr>
        <w:keepNext/>
        <w:keepLines/>
        <w:numPr>
          <w:ilvl w:val="0"/>
          <w:numId w:val="8"/>
        </w:numPr>
        <w:tabs>
          <w:tab w:val="center" w:pos="4513"/>
          <w:tab w:val="right" w:pos="9026"/>
        </w:tabs>
        <w:spacing w:after="0" w:line="240" w:lineRule="auto"/>
        <w:ind w:left="0" w:hanging="709"/>
        <w:outlineLvl w:val="0"/>
        <w:rPr>
          <w:rFonts w:ascii="Arial" w:eastAsiaTheme="majorEastAsia" w:hAnsi="Arial" w:cs="Arial"/>
          <w:b/>
          <w:color w:val="61207F"/>
          <w:sz w:val="24"/>
          <w:szCs w:val="24"/>
        </w:rPr>
      </w:pPr>
      <w:bookmarkStart w:id="9" w:name="_Toc112316691"/>
      <w:bookmarkStart w:id="10" w:name="_Toc112322170"/>
      <w:r w:rsidRPr="00B43210">
        <w:rPr>
          <w:rFonts w:ascii="Arial" w:eastAsiaTheme="majorEastAsia" w:hAnsi="Arial" w:cs="Arial"/>
          <w:b/>
          <w:color w:val="61207F"/>
          <w:sz w:val="24"/>
          <w:szCs w:val="24"/>
        </w:rPr>
        <w:t>Review</w:t>
      </w:r>
      <w:bookmarkEnd w:id="9"/>
      <w:bookmarkEnd w:id="10"/>
    </w:p>
    <w:p w14:paraId="7CA73356" w14:textId="77777777" w:rsidR="00B43210" w:rsidRPr="00B43210" w:rsidRDefault="00B43210" w:rsidP="00B43210">
      <w:pPr>
        <w:spacing w:after="0" w:line="240" w:lineRule="auto"/>
        <w:rPr>
          <w:rFonts w:ascii="Arial" w:eastAsia="Calibri" w:hAnsi="Arial" w:cs="Arial"/>
          <w:sz w:val="24"/>
          <w:szCs w:val="24"/>
        </w:rPr>
      </w:pPr>
    </w:p>
    <w:p w14:paraId="35695AA3" w14:textId="77777777" w:rsidR="00B43210" w:rsidRPr="00B43210" w:rsidRDefault="00B43210" w:rsidP="00B43210">
      <w:pPr>
        <w:spacing w:after="0" w:line="240" w:lineRule="auto"/>
        <w:ind w:hanging="709"/>
        <w:rPr>
          <w:rFonts w:ascii="Arial" w:eastAsia="Calibri" w:hAnsi="Arial" w:cs="Arial"/>
          <w:sz w:val="24"/>
          <w:szCs w:val="24"/>
        </w:rPr>
      </w:pPr>
      <w:r w:rsidRPr="00B43210">
        <w:rPr>
          <w:rFonts w:ascii="Arial" w:eastAsia="Calibri" w:hAnsi="Arial" w:cs="Arial"/>
          <w:sz w:val="24"/>
          <w:szCs w:val="24"/>
        </w:rPr>
        <w:t>5.1</w:t>
      </w:r>
      <w:r w:rsidRPr="00B43210">
        <w:rPr>
          <w:rFonts w:ascii="Arial" w:eastAsia="Calibri" w:hAnsi="Arial" w:cs="Arial"/>
          <w:sz w:val="24"/>
          <w:szCs w:val="24"/>
        </w:rPr>
        <w:tab/>
        <w:t xml:space="preserve">The Policy will be formally reviewed and updated at least every three years or earlier if the risk management arrangements or other matters included within it merit reconsideration. </w:t>
      </w:r>
    </w:p>
    <w:p w14:paraId="25C6E460" w14:textId="77777777" w:rsidR="00B43210" w:rsidRPr="00B43210" w:rsidRDefault="00B43210" w:rsidP="00B43210">
      <w:pPr>
        <w:spacing w:after="0" w:line="240" w:lineRule="auto"/>
        <w:ind w:hanging="709"/>
        <w:rPr>
          <w:rFonts w:ascii="Arial" w:eastAsia="Calibri" w:hAnsi="Arial" w:cs="Arial"/>
          <w:sz w:val="24"/>
          <w:szCs w:val="24"/>
        </w:rPr>
      </w:pPr>
    </w:p>
    <w:p w14:paraId="5A340373" w14:textId="77777777" w:rsidR="00B43210" w:rsidRPr="00B43210" w:rsidRDefault="00B43210" w:rsidP="00B43210">
      <w:pPr>
        <w:keepNext/>
        <w:keepLines/>
        <w:numPr>
          <w:ilvl w:val="0"/>
          <w:numId w:val="8"/>
        </w:numPr>
        <w:tabs>
          <w:tab w:val="center" w:pos="4513"/>
          <w:tab w:val="right" w:pos="9026"/>
        </w:tabs>
        <w:spacing w:after="0" w:line="240" w:lineRule="auto"/>
        <w:ind w:left="11" w:hanging="720"/>
        <w:outlineLvl w:val="0"/>
        <w:rPr>
          <w:rFonts w:ascii="Arial" w:eastAsiaTheme="majorEastAsia" w:hAnsi="Arial" w:cs="Arial"/>
          <w:b/>
          <w:color w:val="61207F"/>
          <w:sz w:val="24"/>
          <w:szCs w:val="24"/>
        </w:rPr>
      </w:pPr>
      <w:bookmarkStart w:id="11" w:name="_Toc112316692"/>
      <w:bookmarkStart w:id="12" w:name="_Toc112322171"/>
      <w:r w:rsidRPr="00B43210">
        <w:rPr>
          <w:rFonts w:ascii="Arial" w:eastAsiaTheme="majorEastAsia" w:hAnsi="Arial" w:cs="Arial"/>
          <w:b/>
          <w:color w:val="61207F"/>
          <w:sz w:val="24"/>
          <w:szCs w:val="24"/>
        </w:rPr>
        <w:t>Scope</w:t>
      </w:r>
      <w:bookmarkEnd w:id="11"/>
      <w:bookmarkEnd w:id="12"/>
    </w:p>
    <w:p w14:paraId="1875450C" w14:textId="77777777" w:rsidR="00B43210" w:rsidRPr="00B43210" w:rsidRDefault="00B43210" w:rsidP="00B43210">
      <w:pPr>
        <w:spacing w:after="0" w:line="240" w:lineRule="auto"/>
        <w:ind w:hanging="709"/>
        <w:rPr>
          <w:rFonts w:ascii="Arial" w:eastAsia="Calibri" w:hAnsi="Arial" w:cs="Arial"/>
          <w:b/>
          <w:sz w:val="24"/>
          <w:szCs w:val="24"/>
        </w:rPr>
      </w:pPr>
    </w:p>
    <w:p w14:paraId="65E690E8" w14:textId="77777777" w:rsidR="00B43210" w:rsidRPr="00B43210" w:rsidRDefault="00B43210" w:rsidP="00B43210">
      <w:pPr>
        <w:spacing w:after="0" w:line="240" w:lineRule="auto"/>
        <w:ind w:hanging="709"/>
        <w:rPr>
          <w:rFonts w:ascii="Arial" w:eastAsia="Calibri" w:hAnsi="Arial" w:cs="Arial"/>
          <w:sz w:val="24"/>
          <w:szCs w:val="24"/>
        </w:rPr>
      </w:pPr>
      <w:r w:rsidRPr="00B43210">
        <w:rPr>
          <w:rFonts w:ascii="Arial" w:eastAsia="Calibri" w:hAnsi="Arial" w:cs="Arial"/>
          <w:sz w:val="24"/>
          <w:szCs w:val="24"/>
        </w:rPr>
        <w:t>6.1</w:t>
      </w:r>
      <w:r w:rsidRPr="00B43210">
        <w:rPr>
          <w:rFonts w:ascii="Arial" w:eastAsia="Calibri" w:hAnsi="Arial" w:cs="Arial"/>
          <w:sz w:val="24"/>
          <w:szCs w:val="24"/>
        </w:rPr>
        <w:tab/>
        <w:t xml:space="preserve">This Risk Strategy applies to all members of the Pension Fund Committee, Investment Sub-Committee and Pension Fund Board, including scheme member and employer representatives.  It also applies to officers involved in the management of the Fund including the Chief Finance Officer (Section 151 Officer) and the Head of Pensions.  </w:t>
      </w:r>
    </w:p>
    <w:p w14:paraId="59521349" w14:textId="77777777" w:rsidR="00B43210" w:rsidRPr="00B43210" w:rsidRDefault="00B43210" w:rsidP="00B43210">
      <w:pPr>
        <w:spacing w:after="0" w:line="240" w:lineRule="auto"/>
        <w:ind w:hanging="709"/>
        <w:rPr>
          <w:rFonts w:ascii="Arial" w:eastAsia="Calibri" w:hAnsi="Arial" w:cs="Arial"/>
          <w:sz w:val="24"/>
          <w:szCs w:val="24"/>
        </w:rPr>
      </w:pPr>
    </w:p>
    <w:p w14:paraId="3CBAACCA" w14:textId="77777777" w:rsidR="00B43210" w:rsidRPr="00B43210" w:rsidRDefault="00B43210" w:rsidP="00B43210">
      <w:pPr>
        <w:spacing w:after="0" w:line="240" w:lineRule="auto"/>
        <w:ind w:hanging="709"/>
        <w:rPr>
          <w:rFonts w:ascii="Arial" w:eastAsia="Calibri" w:hAnsi="Arial" w:cs="Arial"/>
          <w:sz w:val="24"/>
          <w:szCs w:val="24"/>
        </w:rPr>
      </w:pPr>
      <w:r w:rsidRPr="00B43210">
        <w:rPr>
          <w:rFonts w:ascii="Arial" w:eastAsia="Calibri" w:hAnsi="Arial" w:cs="Arial"/>
          <w:sz w:val="24"/>
          <w:szCs w:val="24"/>
        </w:rPr>
        <w:t>6.2</w:t>
      </w:r>
      <w:r w:rsidRPr="00B43210">
        <w:rPr>
          <w:rFonts w:ascii="Arial" w:eastAsia="Calibri" w:hAnsi="Arial" w:cs="Arial"/>
          <w:sz w:val="24"/>
          <w:szCs w:val="24"/>
        </w:rPr>
        <w:tab/>
        <w:t xml:space="preserve">Advisers and suppliers to the Fund are also expected to be aware of this Policy, and assist officers, Committee and Sub-Committee members and Board members as required, in meeting the objectives of this Policy.  </w:t>
      </w:r>
    </w:p>
    <w:p w14:paraId="60838FFB" w14:textId="77777777" w:rsidR="00B43210" w:rsidRPr="00B43210" w:rsidRDefault="00B43210" w:rsidP="00B43210">
      <w:pPr>
        <w:spacing w:after="0" w:line="240" w:lineRule="auto"/>
        <w:ind w:hanging="709"/>
        <w:rPr>
          <w:rFonts w:ascii="Arial" w:eastAsia="Calibri" w:hAnsi="Arial" w:cs="Arial"/>
          <w:sz w:val="24"/>
          <w:szCs w:val="24"/>
        </w:rPr>
      </w:pPr>
    </w:p>
    <w:p w14:paraId="32377EC7" w14:textId="77777777" w:rsidR="00B43210" w:rsidRPr="00B43210" w:rsidRDefault="00B43210" w:rsidP="00B43210">
      <w:pPr>
        <w:keepNext/>
        <w:keepLines/>
        <w:numPr>
          <w:ilvl w:val="0"/>
          <w:numId w:val="8"/>
        </w:numPr>
        <w:tabs>
          <w:tab w:val="center" w:pos="4513"/>
          <w:tab w:val="right" w:pos="9026"/>
        </w:tabs>
        <w:spacing w:after="0" w:line="240" w:lineRule="auto"/>
        <w:ind w:left="0" w:hanging="709"/>
        <w:outlineLvl w:val="0"/>
        <w:rPr>
          <w:rFonts w:ascii="Arial" w:eastAsiaTheme="majorEastAsia" w:hAnsi="Arial" w:cs="Arial"/>
          <w:b/>
          <w:color w:val="61207F"/>
          <w:sz w:val="24"/>
          <w:szCs w:val="24"/>
        </w:rPr>
      </w:pPr>
      <w:bookmarkStart w:id="13" w:name="_Toc112316693"/>
      <w:bookmarkStart w:id="14" w:name="_Toc112322172"/>
      <w:r w:rsidRPr="00B43210">
        <w:rPr>
          <w:rFonts w:ascii="Arial" w:eastAsiaTheme="majorEastAsia" w:hAnsi="Arial" w:cs="Arial"/>
          <w:b/>
          <w:color w:val="61207F"/>
          <w:sz w:val="24"/>
          <w:szCs w:val="24"/>
        </w:rPr>
        <w:t>Risk Management Philosophy</w:t>
      </w:r>
      <w:bookmarkEnd w:id="13"/>
      <w:bookmarkEnd w:id="14"/>
      <w:r w:rsidRPr="00B43210">
        <w:rPr>
          <w:rFonts w:ascii="Arial" w:eastAsiaTheme="majorEastAsia" w:hAnsi="Arial" w:cs="Arial"/>
          <w:b/>
          <w:color w:val="61207F"/>
          <w:sz w:val="24"/>
          <w:szCs w:val="24"/>
        </w:rPr>
        <w:t xml:space="preserve"> </w:t>
      </w:r>
    </w:p>
    <w:p w14:paraId="16077608" w14:textId="77777777" w:rsidR="00B43210" w:rsidRPr="00B43210" w:rsidRDefault="00B43210" w:rsidP="00B43210">
      <w:pPr>
        <w:spacing w:after="0" w:line="240" w:lineRule="auto"/>
        <w:ind w:hanging="709"/>
        <w:rPr>
          <w:rFonts w:ascii="Arial" w:eastAsia="Calibri" w:hAnsi="Arial" w:cs="Arial"/>
          <w:color w:val="009DDD"/>
          <w:sz w:val="24"/>
          <w:szCs w:val="24"/>
        </w:rPr>
      </w:pPr>
    </w:p>
    <w:p w14:paraId="3747CD4D" w14:textId="77777777" w:rsidR="00B43210" w:rsidRPr="00B43210" w:rsidRDefault="00B43210" w:rsidP="00B43210">
      <w:pPr>
        <w:spacing w:after="0" w:line="240" w:lineRule="auto"/>
        <w:ind w:hanging="709"/>
        <w:rPr>
          <w:rFonts w:ascii="Arial" w:eastAsia="Calibri" w:hAnsi="Arial" w:cs="Arial"/>
          <w:sz w:val="24"/>
          <w:szCs w:val="24"/>
        </w:rPr>
      </w:pPr>
      <w:r w:rsidRPr="00B43210">
        <w:rPr>
          <w:rFonts w:ascii="Arial" w:eastAsia="Calibri" w:hAnsi="Arial" w:cs="Arial"/>
          <w:sz w:val="24"/>
          <w:szCs w:val="24"/>
        </w:rPr>
        <w:t>7.1</w:t>
      </w:r>
      <w:r w:rsidRPr="00B43210">
        <w:rPr>
          <w:rFonts w:ascii="Arial" w:eastAsia="Calibri" w:hAnsi="Arial" w:cs="Arial"/>
          <w:sz w:val="24"/>
          <w:szCs w:val="24"/>
        </w:rPr>
        <w:tab/>
        <w:t>The Administering Authority recognises that it is not possible or even desirable to eliminate all risks.  Accepting and actively managing risk is therefore a key part of the risk management strategy for the Fund.  A key determinant in selecting the action to be taken in relation to any risk will be its potential impact on the Fund’s objectives in the light of the Administering Authority’s risk appetite, particularly in relation to investment matters. Equally important is striking a balance between the cost of risk control actions against the possible effect of the risk occurring.</w:t>
      </w:r>
    </w:p>
    <w:p w14:paraId="589BC5E2" w14:textId="77777777" w:rsidR="00B43210" w:rsidRPr="00B43210" w:rsidRDefault="00B43210" w:rsidP="00B43210">
      <w:pPr>
        <w:spacing w:after="0" w:line="240" w:lineRule="auto"/>
        <w:ind w:hanging="709"/>
        <w:rPr>
          <w:rFonts w:ascii="Arial" w:eastAsia="Calibri" w:hAnsi="Arial" w:cs="Arial"/>
          <w:sz w:val="24"/>
          <w:szCs w:val="24"/>
        </w:rPr>
      </w:pPr>
    </w:p>
    <w:p w14:paraId="6B0350CE" w14:textId="77777777" w:rsidR="00B43210" w:rsidRPr="00B43210" w:rsidRDefault="00B43210" w:rsidP="00B43210">
      <w:pPr>
        <w:spacing w:after="0" w:line="240" w:lineRule="auto"/>
        <w:ind w:hanging="709"/>
        <w:rPr>
          <w:rFonts w:ascii="Arial" w:eastAsia="Calibri" w:hAnsi="Arial" w:cs="Arial"/>
          <w:sz w:val="24"/>
          <w:szCs w:val="24"/>
        </w:rPr>
      </w:pPr>
      <w:r w:rsidRPr="00B43210">
        <w:rPr>
          <w:rFonts w:ascii="Arial" w:eastAsia="Calibri" w:hAnsi="Arial" w:cs="Arial"/>
          <w:sz w:val="24"/>
          <w:szCs w:val="24"/>
        </w:rPr>
        <w:t>7.2</w:t>
      </w:r>
      <w:r w:rsidRPr="00B43210">
        <w:rPr>
          <w:rFonts w:ascii="Arial" w:eastAsia="Calibri" w:hAnsi="Arial" w:cs="Arial"/>
          <w:sz w:val="24"/>
          <w:szCs w:val="24"/>
        </w:rPr>
        <w:tab/>
        <w:t>In managing risk, the Administering Authority will:</w:t>
      </w:r>
    </w:p>
    <w:p w14:paraId="793FE9A4" w14:textId="77777777" w:rsidR="00B43210" w:rsidRPr="00B43210" w:rsidRDefault="00B43210" w:rsidP="00B43210">
      <w:pPr>
        <w:autoSpaceDE w:val="0"/>
        <w:autoSpaceDN w:val="0"/>
        <w:adjustRightInd w:val="0"/>
        <w:spacing w:after="0" w:line="240" w:lineRule="auto"/>
        <w:ind w:left="142"/>
        <w:contextualSpacing/>
        <w:rPr>
          <w:rFonts w:ascii="Arial" w:eastAsia="Calibri" w:hAnsi="Arial" w:cs="Arial"/>
          <w:color w:val="000000" w:themeColor="text1"/>
          <w:sz w:val="24"/>
          <w:szCs w:val="24"/>
        </w:rPr>
      </w:pPr>
    </w:p>
    <w:p w14:paraId="23F32DB1" w14:textId="77777777" w:rsidR="00B43210" w:rsidRPr="00B43210" w:rsidRDefault="00B43210" w:rsidP="00B43210">
      <w:pPr>
        <w:numPr>
          <w:ilvl w:val="0"/>
          <w:numId w:val="1"/>
        </w:numPr>
        <w:autoSpaceDE w:val="0"/>
        <w:autoSpaceDN w:val="0"/>
        <w:adjustRightInd w:val="0"/>
        <w:spacing w:after="200" w:line="276" w:lineRule="auto"/>
        <w:ind w:left="142" w:hanging="153"/>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ensure that there is a proper balance between risk taking and the opportunities to be gained</w:t>
      </w:r>
    </w:p>
    <w:p w14:paraId="432CB58B"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lastRenderedPageBreak/>
        <w:t>adopt a system that will enable the Fund to anticipate and respond positively to change</w:t>
      </w:r>
    </w:p>
    <w:p w14:paraId="253D71F6"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minimise loss and damage to the Fund and to other stakeholders who are dependent on the benefits and services provided</w:t>
      </w:r>
    </w:p>
    <w:p w14:paraId="4149A363"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make sure that any new areas of activity (new investment strategies, further joint-working, framework agreements etc.), are only undertaken if the risks they present are fully understood and taken into account in making decisions.</w:t>
      </w:r>
    </w:p>
    <w:p w14:paraId="410DEF92" w14:textId="77777777" w:rsidR="00B43210" w:rsidRPr="00B43210" w:rsidRDefault="00B43210" w:rsidP="00B43210">
      <w:pPr>
        <w:autoSpaceDE w:val="0"/>
        <w:autoSpaceDN w:val="0"/>
        <w:adjustRightInd w:val="0"/>
        <w:spacing w:after="0" w:line="240" w:lineRule="auto"/>
        <w:ind w:left="720" w:hanging="709"/>
        <w:contextualSpacing/>
        <w:rPr>
          <w:rFonts w:ascii="Arial" w:eastAsia="Calibri" w:hAnsi="Arial" w:cs="Arial"/>
          <w:color w:val="000000" w:themeColor="text1"/>
          <w:sz w:val="24"/>
          <w:szCs w:val="24"/>
        </w:rPr>
      </w:pPr>
    </w:p>
    <w:p w14:paraId="4EAC8F60" w14:textId="77777777" w:rsidR="00B43210" w:rsidRPr="00B43210" w:rsidRDefault="00B43210" w:rsidP="00B43210">
      <w:pPr>
        <w:autoSpaceDE w:val="0"/>
        <w:autoSpaceDN w:val="0"/>
        <w:adjustRightInd w:val="0"/>
        <w:spacing w:after="0" w:line="240" w:lineRule="auto"/>
        <w:ind w:hanging="709"/>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7.3</w:t>
      </w:r>
      <w:r w:rsidRPr="00B43210">
        <w:rPr>
          <w:rFonts w:ascii="Arial" w:eastAsia="Calibri" w:hAnsi="Arial" w:cs="Arial"/>
          <w:color w:val="000000" w:themeColor="text1"/>
          <w:sz w:val="24"/>
          <w:szCs w:val="24"/>
        </w:rPr>
        <w:tab/>
        <w:t>The Administering Authority also recognises that risk management is not an end in itself; nor will it remove risk from the Fund or the Administering Authority. However it is a sound management technique that is an essential part of the Administering Authority’s stewardship of the Fund. The benefits of a sound risk management approach include better decision-making, improved performance and delivery of services, more effective use of resources and the protection of reputation.</w:t>
      </w:r>
    </w:p>
    <w:p w14:paraId="4D053FD3" w14:textId="77777777" w:rsidR="00B43210" w:rsidRPr="00B43210" w:rsidRDefault="00B43210" w:rsidP="00B43210">
      <w:pPr>
        <w:autoSpaceDE w:val="0"/>
        <w:autoSpaceDN w:val="0"/>
        <w:adjustRightInd w:val="0"/>
        <w:spacing w:after="0" w:line="240" w:lineRule="auto"/>
        <w:ind w:hanging="709"/>
        <w:rPr>
          <w:rFonts w:ascii="Arial" w:eastAsia="Calibri" w:hAnsi="Arial" w:cs="Arial"/>
          <w:color w:val="000000" w:themeColor="text1"/>
          <w:sz w:val="24"/>
          <w:szCs w:val="24"/>
        </w:rPr>
      </w:pPr>
    </w:p>
    <w:p w14:paraId="5D6E5559" w14:textId="77777777" w:rsidR="00B43210" w:rsidRPr="00B43210" w:rsidRDefault="00B43210" w:rsidP="00B43210">
      <w:pPr>
        <w:keepNext/>
        <w:keepLines/>
        <w:numPr>
          <w:ilvl w:val="0"/>
          <w:numId w:val="8"/>
        </w:numPr>
        <w:tabs>
          <w:tab w:val="center" w:pos="4513"/>
          <w:tab w:val="right" w:pos="9026"/>
        </w:tabs>
        <w:spacing w:after="0" w:line="240" w:lineRule="auto"/>
        <w:ind w:left="0" w:hanging="709"/>
        <w:outlineLvl w:val="0"/>
        <w:rPr>
          <w:rFonts w:ascii="Arial" w:eastAsiaTheme="majorEastAsia" w:hAnsi="Arial" w:cs="Arial"/>
          <w:b/>
          <w:color w:val="61207F"/>
          <w:sz w:val="24"/>
          <w:szCs w:val="24"/>
        </w:rPr>
      </w:pPr>
      <w:bookmarkStart w:id="15" w:name="_Toc112316694"/>
      <w:bookmarkStart w:id="16" w:name="_Toc112322173"/>
      <w:r w:rsidRPr="00B43210">
        <w:rPr>
          <w:rFonts w:ascii="Arial" w:eastAsiaTheme="majorEastAsia" w:hAnsi="Arial" w:cs="Arial"/>
          <w:b/>
          <w:color w:val="61207F"/>
          <w:sz w:val="24"/>
          <w:szCs w:val="24"/>
        </w:rPr>
        <w:t>CIPFA and the Pension Regulator’s Requirements</w:t>
      </w:r>
      <w:bookmarkEnd w:id="15"/>
      <w:bookmarkEnd w:id="16"/>
      <w:r w:rsidRPr="00B43210">
        <w:rPr>
          <w:rFonts w:ascii="Arial" w:eastAsiaTheme="majorEastAsia" w:hAnsi="Arial" w:cs="Arial"/>
          <w:b/>
          <w:color w:val="61207F"/>
          <w:sz w:val="24"/>
          <w:szCs w:val="24"/>
        </w:rPr>
        <w:t xml:space="preserve"> </w:t>
      </w:r>
    </w:p>
    <w:p w14:paraId="6CCD0D0C" w14:textId="77777777" w:rsidR="00B43210" w:rsidRPr="00B43210" w:rsidRDefault="00B43210" w:rsidP="00B43210">
      <w:pPr>
        <w:autoSpaceDE w:val="0"/>
        <w:autoSpaceDN w:val="0"/>
        <w:adjustRightInd w:val="0"/>
        <w:spacing w:after="0" w:line="240" w:lineRule="auto"/>
        <w:rPr>
          <w:rFonts w:ascii="Arial" w:eastAsia="Calibri" w:hAnsi="Arial" w:cs="Arial"/>
          <w:sz w:val="24"/>
          <w:szCs w:val="24"/>
        </w:rPr>
      </w:pPr>
    </w:p>
    <w:p w14:paraId="117A7DC6" w14:textId="77777777" w:rsidR="00B43210" w:rsidRPr="00B43210" w:rsidRDefault="00B43210" w:rsidP="00B43210">
      <w:pPr>
        <w:keepNext/>
        <w:keepLines/>
        <w:numPr>
          <w:ilvl w:val="1"/>
          <w:numId w:val="8"/>
        </w:numPr>
        <w:tabs>
          <w:tab w:val="center" w:pos="4513"/>
          <w:tab w:val="right" w:pos="9026"/>
        </w:tabs>
        <w:spacing w:after="0" w:line="240" w:lineRule="auto"/>
        <w:ind w:left="0" w:hanging="709"/>
        <w:contextualSpacing/>
        <w:outlineLvl w:val="1"/>
        <w:rPr>
          <w:rFonts w:ascii="Arial" w:eastAsiaTheme="majorEastAsia" w:hAnsi="Arial" w:cs="Arial"/>
          <w:b/>
          <w:color w:val="244D7A"/>
          <w:sz w:val="24"/>
          <w:szCs w:val="26"/>
        </w:rPr>
      </w:pPr>
      <w:bookmarkStart w:id="17" w:name="_Toc112316695"/>
      <w:bookmarkStart w:id="18" w:name="_Toc112322174"/>
      <w:r w:rsidRPr="00B43210">
        <w:rPr>
          <w:rFonts w:ascii="Arial" w:eastAsiaTheme="majorEastAsia" w:hAnsi="Arial" w:cs="Arial"/>
          <w:b/>
          <w:color w:val="244D7A"/>
          <w:sz w:val="24"/>
          <w:szCs w:val="26"/>
        </w:rPr>
        <w:t>CIPFA Managing Risk Publication</w:t>
      </w:r>
      <w:bookmarkEnd w:id="17"/>
      <w:bookmarkEnd w:id="18"/>
      <w:r w:rsidRPr="00B43210">
        <w:rPr>
          <w:rFonts w:ascii="Arial" w:eastAsiaTheme="majorEastAsia" w:hAnsi="Arial" w:cs="Arial"/>
          <w:b/>
          <w:color w:val="244D7A"/>
          <w:sz w:val="24"/>
          <w:szCs w:val="26"/>
        </w:rPr>
        <w:t xml:space="preserve"> </w:t>
      </w:r>
    </w:p>
    <w:p w14:paraId="2337C483" w14:textId="77777777" w:rsidR="00B43210" w:rsidRPr="00B43210" w:rsidRDefault="00B43210" w:rsidP="00B43210">
      <w:pPr>
        <w:autoSpaceDE w:val="0"/>
        <w:autoSpaceDN w:val="0"/>
        <w:adjustRightInd w:val="0"/>
        <w:spacing w:after="0" w:line="240" w:lineRule="auto"/>
        <w:ind w:hanging="709"/>
        <w:rPr>
          <w:rFonts w:ascii="Arial" w:eastAsia="Calibri" w:hAnsi="Arial" w:cs="Arial"/>
          <w:i/>
          <w:color w:val="000000" w:themeColor="text1"/>
          <w:sz w:val="24"/>
          <w:szCs w:val="24"/>
        </w:rPr>
      </w:pPr>
    </w:p>
    <w:p w14:paraId="2D7A962E"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CIPFA has published technical guidance on managing risk in the LGPS. The publication explores how risk manifests itself across the broad spectrum of activity that constitutes LGPS financial management and administration, and how, by using established risk management techniques, those risks can be identified, analysed and managed effectively.</w:t>
      </w:r>
    </w:p>
    <w:p w14:paraId="52E02C37"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p>
    <w:p w14:paraId="7D0D1B16"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The publication also considers how to approach risk in the LGPS in the context of the role of the administering authority as part of a wider local authority and how the approach to risk might be communicated to other stakeholders.</w:t>
      </w:r>
    </w:p>
    <w:p w14:paraId="7AD5046A"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p>
    <w:p w14:paraId="5917463A" w14:textId="77777777" w:rsidR="00B43210" w:rsidRPr="00B43210" w:rsidRDefault="00B43210" w:rsidP="00B43210">
      <w:pPr>
        <w:keepNext/>
        <w:keepLines/>
        <w:numPr>
          <w:ilvl w:val="1"/>
          <w:numId w:val="8"/>
        </w:numPr>
        <w:tabs>
          <w:tab w:val="center" w:pos="4513"/>
          <w:tab w:val="right" w:pos="9026"/>
        </w:tabs>
        <w:spacing w:after="0" w:line="240" w:lineRule="auto"/>
        <w:ind w:left="0" w:hanging="709"/>
        <w:contextualSpacing/>
        <w:outlineLvl w:val="1"/>
        <w:rPr>
          <w:rFonts w:ascii="Arial" w:eastAsiaTheme="majorEastAsia" w:hAnsi="Arial" w:cs="Arial"/>
          <w:b/>
          <w:color w:val="244D7A"/>
          <w:sz w:val="24"/>
          <w:szCs w:val="26"/>
        </w:rPr>
      </w:pPr>
      <w:bookmarkStart w:id="19" w:name="_Toc112322175"/>
      <w:r w:rsidRPr="00B43210">
        <w:rPr>
          <w:rFonts w:ascii="Arial" w:eastAsiaTheme="majorEastAsia" w:hAnsi="Arial" w:cs="Arial"/>
          <w:b/>
          <w:color w:val="244D7A"/>
          <w:sz w:val="24"/>
          <w:szCs w:val="26"/>
        </w:rPr>
        <w:t>The Pension Regulator’s Code of Practice</w:t>
      </w:r>
      <w:bookmarkEnd w:id="19"/>
      <w:r w:rsidRPr="00B43210">
        <w:rPr>
          <w:rFonts w:ascii="Arial" w:eastAsiaTheme="majorEastAsia" w:hAnsi="Arial" w:cs="Arial"/>
          <w:b/>
          <w:color w:val="244D7A"/>
          <w:sz w:val="24"/>
          <w:szCs w:val="26"/>
        </w:rPr>
        <w:t xml:space="preserve"> </w:t>
      </w:r>
    </w:p>
    <w:p w14:paraId="6CEDF250" w14:textId="77777777" w:rsidR="00B43210" w:rsidRPr="00B43210" w:rsidRDefault="00B43210" w:rsidP="00B43210">
      <w:pPr>
        <w:autoSpaceDE w:val="0"/>
        <w:autoSpaceDN w:val="0"/>
        <w:adjustRightInd w:val="0"/>
        <w:spacing w:after="0" w:line="240" w:lineRule="auto"/>
        <w:ind w:left="567"/>
        <w:rPr>
          <w:rFonts w:ascii="Arial" w:eastAsia="Calibri" w:hAnsi="Arial" w:cs="Arial"/>
          <w:color w:val="000000" w:themeColor="text1"/>
          <w:sz w:val="24"/>
          <w:szCs w:val="24"/>
        </w:rPr>
      </w:pPr>
    </w:p>
    <w:p w14:paraId="7F75DFB2"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 xml:space="preserve">The Public Service Pensions Act 2013 added the following provision to the Pensions Act 2004 relating to the requirement to have internal controls in public service pension schemes.  </w:t>
      </w:r>
    </w:p>
    <w:p w14:paraId="68139A96"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p>
    <w:p w14:paraId="531E4E1F" w14:textId="77777777" w:rsidR="00B43210" w:rsidRPr="00B43210" w:rsidRDefault="00B43210" w:rsidP="00B43210">
      <w:pPr>
        <w:autoSpaceDE w:val="0"/>
        <w:autoSpaceDN w:val="0"/>
        <w:adjustRightInd w:val="0"/>
        <w:spacing w:after="0" w:line="240" w:lineRule="auto"/>
        <w:ind w:left="567" w:hanging="567"/>
        <w:rPr>
          <w:rFonts w:ascii="Arial" w:eastAsia="Calibri" w:hAnsi="Arial" w:cs="Arial"/>
          <w:i/>
          <w:color w:val="000000" w:themeColor="text1"/>
          <w:sz w:val="24"/>
          <w:szCs w:val="24"/>
        </w:rPr>
      </w:pPr>
      <w:r w:rsidRPr="00B43210">
        <w:rPr>
          <w:rFonts w:ascii="Arial" w:eastAsia="Calibri" w:hAnsi="Arial" w:cs="Arial"/>
          <w:i/>
          <w:color w:val="000000" w:themeColor="text1"/>
          <w:sz w:val="24"/>
          <w:szCs w:val="24"/>
        </w:rPr>
        <w:t>“</w:t>
      </w:r>
      <w:r w:rsidRPr="00B43210">
        <w:rPr>
          <w:rFonts w:ascii="Arial" w:eastAsia="Calibri" w:hAnsi="Arial" w:cs="Arial"/>
          <w:b/>
          <w:i/>
          <w:color w:val="000000" w:themeColor="text1"/>
          <w:sz w:val="24"/>
          <w:szCs w:val="24"/>
        </w:rPr>
        <w:t>249B Requirement for internal controls: public service pension schemes</w:t>
      </w:r>
    </w:p>
    <w:p w14:paraId="4CA7EF1A" w14:textId="77777777" w:rsidR="00B43210" w:rsidRPr="00B43210" w:rsidRDefault="00B43210" w:rsidP="00B43210">
      <w:pPr>
        <w:autoSpaceDE w:val="0"/>
        <w:autoSpaceDN w:val="0"/>
        <w:adjustRightInd w:val="0"/>
        <w:spacing w:after="0" w:line="240" w:lineRule="auto"/>
        <w:rPr>
          <w:rFonts w:ascii="Arial" w:eastAsia="Calibri" w:hAnsi="Arial" w:cs="Arial"/>
          <w:i/>
          <w:color w:val="000000" w:themeColor="text1"/>
          <w:sz w:val="24"/>
          <w:szCs w:val="24"/>
        </w:rPr>
      </w:pPr>
      <w:r w:rsidRPr="00B43210">
        <w:rPr>
          <w:rFonts w:ascii="Arial" w:eastAsia="Calibri" w:hAnsi="Arial" w:cs="Arial"/>
          <w:i/>
          <w:color w:val="000000" w:themeColor="text1"/>
          <w:sz w:val="24"/>
          <w:szCs w:val="24"/>
        </w:rPr>
        <w:t>(1) The scheme manager of a public service pension scheme must establish and operate internal controls which are adequate for the purpose of securing that the scheme is administered and managed—</w:t>
      </w:r>
    </w:p>
    <w:p w14:paraId="618C8B3D" w14:textId="77777777" w:rsidR="00B43210" w:rsidRPr="00B43210" w:rsidRDefault="00B43210" w:rsidP="00B43210">
      <w:pPr>
        <w:autoSpaceDE w:val="0"/>
        <w:autoSpaceDN w:val="0"/>
        <w:adjustRightInd w:val="0"/>
        <w:spacing w:after="0" w:line="240" w:lineRule="auto"/>
        <w:rPr>
          <w:rFonts w:ascii="Arial" w:eastAsia="Calibri" w:hAnsi="Arial" w:cs="Arial"/>
          <w:i/>
          <w:color w:val="000000" w:themeColor="text1"/>
          <w:sz w:val="24"/>
          <w:szCs w:val="24"/>
        </w:rPr>
      </w:pPr>
      <w:r w:rsidRPr="00B43210">
        <w:rPr>
          <w:rFonts w:ascii="Arial" w:eastAsia="Calibri" w:hAnsi="Arial" w:cs="Arial"/>
          <w:i/>
          <w:color w:val="000000" w:themeColor="text1"/>
          <w:sz w:val="24"/>
          <w:szCs w:val="24"/>
        </w:rPr>
        <w:t>(a) in accordance with the scheme rules, and</w:t>
      </w:r>
    </w:p>
    <w:p w14:paraId="67C69859" w14:textId="77777777" w:rsidR="00B43210" w:rsidRPr="00B43210" w:rsidRDefault="00B43210" w:rsidP="00B43210">
      <w:pPr>
        <w:autoSpaceDE w:val="0"/>
        <w:autoSpaceDN w:val="0"/>
        <w:adjustRightInd w:val="0"/>
        <w:spacing w:after="0" w:line="240" w:lineRule="auto"/>
        <w:rPr>
          <w:rFonts w:ascii="Arial" w:eastAsia="Calibri" w:hAnsi="Arial" w:cs="Arial"/>
          <w:i/>
          <w:color w:val="000000" w:themeColor="text1"/>
          <w:sz w:val="24"/>
          <w:szCs w:val="24"/>
        </w:rPr>
      </w:pPr>
      <w:r w:rsidRPr="00B43210">
        <w:rPr>
          <w:rFonts w:ascii="Arial" w:eastAsia="Calibri" w:hAnsi="Arial" w:cs="Arial"/>
          <w:i/>
          <w:color w:val="000000" w:themeColor="text1"/>
          <w:sz w:val="24"/>
          <w:szCs w:val="24"/>
        </w:rPr>
        <w:t>(b) in accordance with the requirements of the law.</w:t>
      </w:r>
    </w:p>
    <w:p w14:paraId="48CF6B78" w14:textId="77777777" w:rsidR="00B43210" w:rsidRPr="00B43210" w:rsidRDefault="00B43210" w:rsidP="00B43210">
      <w:pPr>
        <w:autoSpaceDE w:val="0"/>
        <w:autoSpaceDN w:val="0"/>
        <w:adjustRightInd w:val="0"/>
        <w:spacing w:after="0" w:line="240" w:lineRule="auto"/>
        <w:rPr>
          <w:rFonts w:ascii="Arial" w:eastAsia="Calibri" w:hAnsi="Arial" w:cs="Arial"/>
          <w:i/>
          <w:color w:val="000000" w:themeColor="text1"/>
          <w:sz w:val="24"/>
          <w:szCs w:val="24"/>
        </w:rPr>
      </w:pPr>
      <w:r w:rsidRPr="00B43210">
        <w:rPr>
          <w:rFonts w:ascii="Arial" w:eastAsia="Calibri" w:hAnsi="Arial" w:cs="Arial"/>
          <w:i/>
          <w:color w:val="000000" w:themeColor="text1"/>
          <w:sz w:val="24"/>
          <w:szCs w:val="24"/>
        </w:rPr>
        <w:t xml:space="preserve">(2) Nothing in this section affects any other obligations of the scheme manager to establish or operate internal controls, whether imposed by or by virtue of any enactment, the scheme rules or otherwise. </w:t>
      </w:r>
    </w:p>
    <w:p w14:paraId="585AABF7" w14:textId="77777777" w:rsidR="00B43210" w:rsidRPr="00B43210" w:rsidRDefault="00B43210" w:rsidP="00B43210">
      <w:pPr>
        <w:autoSpaceDE w:val="0"/>
        <w:autoSpaceDN w:val="0"/>
        <w:adjustRightInd w:val="0"/>
        <w:spacing w:after="0" w:line="240" w:lineRule="auto"/>
        <w:rPr>
          <w:rFonts w:ascii="Arial" w:eastAsia="Calibri" w:hAnsi="Arial" w:cs="Arial"/>
          <w:i/>
          <w:color w:val="000000" w:themeColor="text1"/>
          <w:sz w:val="24"/>
          <w:szCs w:val="24"/>
        </w:rPr>
      </w:pPr>
      <w:r w:rsidRPr="00B43210">
        <w:rPr>
          <w:rFonts w:ascii="Arial" w:eastAsia="Calibri" w:hAnsi="Arial" w:cs="Arial"/>
          <w:i/>
          <w:color w:val="000000" w:themeColor="text1"/>
          <w:sz w:val="24"/>
          <w:szCs w:val="24"/>
        </w:rPr>
        <w:t>(3) In this section, “enactment” and “internal controls” have the same meanings as in section 249A.”</w:t>
      </w:r>
    </w:p>
    <w:p w14:paraId="2984069D" w14:textId="77777777" w:rsidR="00B43210" w:rsidRPr="00B43210" w:rsidRDefault="00B43210" w:rsidP="00B43210">
      <w:pPr>
        <w:autoSpaceDE w:val="0"/>
        <w:autoSpaceDN w:val="0"/>
        <w:adjustRightInd w:val="0"/>
        <w:spacing w:after="0" w:line="240" w:lineRule="auto"/>
        <w:ind w:left="567"/>
        <w:rPr>
          <w:rFonts w:ascii="Arial" w:eastAsia="Calibri" w:hAnsi="Arial" w:cs="Arial"/>
          <w:color w:val="000000" w:themeColor="text1"/>
          <w:sz w:val="24"/>
          <w:szCs w:val="24"/>
        </w:rPr>
      </w:pPr>
    </w:p>
    <w:p w14:paraId="48FE6D62"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 xml:space="preserve">Section 90A of the Pensions Act 2004 requires the Pensions Regulator to issue a code of practice relating to internal controls.  The Pensions Regulator has issued </w:t>
      </w:r>
      <w:r w:rsidRPr="00B43210">
        <w:rPr>
          <w:rFonts w:ascii="Arial" w:eastAsia="Calibri" w:hAnsi="Arial" w:cs="Arial"/>
          <w:color w:val="000000" w:themeColor="text1"/>
          <w:sz w:val="24"/>
          <w:szCs w:val="24"/>
        </w:rPr>
        <w:lastRenderedPageBreak/>
        <w:t xml:space="preserve">such a code in which he encourages scheme managers (i.e. administering authorities in the LGPS) to employ a risk based approach to assessing the adequacy of their internal controls and to ensure that sufficient time and attention is spent on identifying, evaluating and managing risks and developing and monitoring appropriate controls. </w:t>
      </w:r>
    </w:p>
    <w:p w14:paraId="63B712DB"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The Pensions Regulator’s code of practice guidance on internal controls requires scheme managers to carry out a risk assessment and produce a risk register which should be reviewed regularly.  The risk assessment should begin by:</w:t>
      </w:r>
    </w:p>
    <w:p w14:paraId="015B35A0"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p>
    <w:p w14:paraId="2324FB57"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setting the objectives of the scheme</w:t>
      </w:r>
    </w:p>
    <w:p w14:paraId="5CCB05A2"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determining the various functions and activities carried out in the running of the scheme, and</w:t>
      </w:r>
    </w:p>
    <w:p w14:paraId="73A3F2B3"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identifying the main risks associated with those objectives, functions and activities.</w:t>
      </w:r>
    </w:p>
    <w:p w14:paraId="73A2B343" w14:textId="77777777" w:rsidR="00B43210" w:rsidRPr="00B43210" w:rsidRDefault="00B43210" w:rsidP="00B43210">
      <w:pPr>
        <w:autoSpaceDE w:val="0"/>
        <w:autoSpaceDN w:val="0"/>
        <w:adjustRightInd w:val="0"/>
        <w:spacing w:after="0" w:line="240" w:lineRule="auto"/>
        <w:ind w:left="568"/>
        <w:rPr>
          <w:rFonts w:ascii="Arial" w:eastAsia="Calibri" w:hAnsi="Arial" w:cs="Arial"/>
          <w:color w:val="000000" w:themeColor="text1"/>
          <w:sz w:val="24"/>
          <w:szCs w:val="24"/>
        </w:rPr>
      </w:pPr>
    </w:p>
    <w:p w14:paraId="43C40375"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The code of practice goes on to say that schemes should consider the likelihood of risks arising and the effect if they do arise when determining the order of priority for managing risks, and focus on those areas where the impact and likelihood of a risk materialising is high.  Schemes should then consider what internal controls are appropriate to mitigate the main risks they have identified and how best to monitor them.  The code of practice includes the following examples as issues which schemes should consider when designing internal controls to manage risks:</w:t>
      </w:r>
    </w:p>
    <w:p w14:paraId="51C56B8E"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p>
    <w:p w14:paraId="1DBC0E70"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how the control is to be implemented and the skills of the person performing the control</w:t>
      </w:r>
    </w:p>
    <w:p w14:paraId="5282AF16"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the level of reliance that can be placed on information technology solutions where processes are automated</w:t>
      </w:r>
    </w:p>
    <w:p w14:paraId="7A83B502"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whether a control is capable of preventing future recurrence or merely detecting an event that has already happened</w:t>
      </w:r>
    </w:p>
    <w:p w14:paraId="29C3FBA6"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the frequency and timeliness of a control process</w:t>
      </w:r>
    </w:p>
    <w:p w14:paraId="5E99D4C3"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how the control will ensure that data are managed securely, and</w:t>
      </w:r>
    </w:p>
    <w:p w14:paraId="4E84254A"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the process for flagging errors or control failures, and approval and authorisation controls.</w:t>
      </w:r>
    </w:p>
    <w:p w14:paraId="3E9769AA" w14:textId="77777777" w:rsidR="00B43210" w:rsidRPr="00B43210" w:rsidRDefault="00B43210" w:rsidP="00B43210">
      <w:pPr>
        <w:autoSpaceDE w:val="0"/>
        <w:autoSpaceDN w:val="0"/>
        <w:adjustRightInd w:val="0"/>
        <w:spacing w:after="0" w:line="240" w:lineRule="auto"/>
        <w:ind w:left="567"/>
        <w:rPr>
          <w:rFonts w:ascii="Arial" w:eastAsia="Calibri" w:hAnsi="Arial" w:cs="Arial"/>
          <w:color w:val="000000" w:themeColor="text1"/>
          <w:sz w:val="24"/>
          <w:szCs w:val="24"/>
        </w:rPr>
      </w:pPr>
    </w:p>
    <w:p w14:paraId="51BD7A2B"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The code states that risk assessment is a continual process and should take account of a changing environment and new and emerging risks.  It further states that an effective risk assessment process will provide a mechanism to detect weaknesses at an early stage and that schemes should periodically review the adequacy of internal controls in:</w:t>
      </w:r>
    </w:p>
    <w:p w14:paraId="6D04B489"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p>
    <w:p w14:paraId="688EE1B4"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mitigating risks</w:t>
      </w:r>
    </w:p>
    <w:p w14:paraId="4C75B2FF"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supporting longer-term strategic aims, for example relating to investments</w:t>
      </w:r>
    </w:p>
    <w:p w14:paraId="5A60BD19"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identifying success (or otherwise) in achieving agreed objectives, and</w:t>
      </w:r>
    </w:p>
    <w:p w14:paraId="4C434777"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providing a framework against which compliance with the scheme regulations and legislation can be monitored.</w:t>
      </w:r>
    </w:p>
    <w:p w14:paraId="4C1982D6" w14:textId="77777777" w:rsidR="00B43210" w:rsidRPr="00B43210" w:rsidRDefault="00B43210" w:rsidP="00B43210">
      <w:pPr>
        <w:autoSpaceDE w:val="0"/>
        <w:autoSpaceDN w:val="0"/>
        <w:adjustRightInd w:val="0"/>
        <w:spacing w:after="0" w:line="240" w:lineRule="auto"/>
        <w:ind w:hanging="426"/>
        <w:jc w:val="both"/>
        <w:rPr>
          <w:rFonts w:ascii="Arial" w:eastAsia="Calibri" w:hAnsi="Arial" w:cs="Arial"/>
          <w:color w:val="000000" w:themeColor="text1"/>
          <w:sz w:val="24"/>
          <w:szCs w:val="24"/>
        </w:rPr>
      </w:pPr>
    </w:p>
    <w:p w14:paraId="09BD2715"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lastRenderedPageBreak/>
        <w:t>Under section 13 of the Pensions Act 2004, the Pensions Regulator can issue an improvement notice (i.e. a notice requiring steps to be taken to rectify a situation) where it is considered that the requirements relating to internal controls are not being adhered to.</w:t>
      </w:r>
    </w:p>
    <w:p w14:paraId="38911437"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p>
    <w:p w14:paraId="30C155AD" w14:textId="77777777" w:rsidR="00B43210" w:rsidRPr="00B43210" w:rsidRDefault="00B43210" w:rsidP="00B43210">
      <w:pPr>
        <w:autoSpaceDE w:val="0"/>
        <w:autoSpaceDN w:val="0"/>
        <w:adjustRightInd w:val="0"/>
        <w:spacing w:after="0" w:line="240" w:lineRule="auto"/>
        <w:ind w:hanging="709"/>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8.3</w:t>
      </w:r>
      <w:r w:rsidRPr="00B43210">
        <w:rPr>
          <w:rFonts w:ascii="Arial" w:eastAsia="Calibri" w:hAnsi="Arial" w:cs="Arial"/>
          <w:color w:val="000000" w:themeColor="text1"/>
          <w:sz w:val="24"/>
          <w:szCs w:val="24"/>
        </w:rPr>
        <w:tab/>
        <w:t>The Administering Authority adopts the principles contained in CIPFA's Managing Risk in the LGPS document and the Pension Regulator’s code of practice in relation to the Fund. This Risk Strategy highlights how the Administering Authority strives to achieve those principles through use of risk management processes and internal controls incorporating regular monitoring and reporting.</w:t>
      </w:r>
    </w:p>
    <w:p w14:paraId="0400A392" w14:textId="77777777" w:rsidR="00B43210" w:rsidRPr="00B43210" w:rsidRDefault="00B43210" w:rsidP="00B43210">
      <w:pPr>
        <w:autoSpaceDE w:val="0"/>
        <w:autoSpaceDN w:val="0"/>
        <w:adjustRightInd w:val="0"/>
        <w:spacing w:after="0" w:line="240" w:lineRule="auto"/>
        <w:ind w:left="709" w:hanging="720"/>
        <w:jc w:val="both"/>
        <w:rPr>
          <w:rFonts w:ascii="Arial" w:eastAsia="Calibri" w:hAnsi="Arial" w:cs="Arial"/>
          <w:color w:val="000000" w:themeColor="text1"/>
          <w:sz w:val="24"/>
          <w:szCs w:val="24"/>
        </w:rPr>
      </w:pPr>
    </w:p>
    <w:p w14:paraId="278FC3B9" w14:textId="77777777" w:rsidR="00B43210" w:rsidRPr="00B43210" w:rsidRDefault="00B43210" w:rsidP="00B43210">
      <w:pPr>
        <w:keepNext/>
        <w:keepLines/>
        <w:numPr>
          <w:ilvl w:val="0"/>
          <w:numId w:val="8"/>
        </w:numPr>
        <w:tabs>
          <w:tab w:val="center" w:pos="4513"/>
          <w:tab w:val="right" w:pos="9026"/>
        </w:tabs>
        <w:spacing w:after="0" w:line="240" w:lineRule="auto"/>
        <w:ind w:left="0" w:hanging="709"/>
        <w:outlineLvl w:val="0"/>
        <w:rPr>
          <w:rFonts w:ascii="Arial" w:eastAsiaTheme="majorEastAsia" w:hAnsi="Arial" w:cs="Arial"/>
          <w:b/>
          <w:color w:val="61207F"/>
          <w:sz w:val="24"/>
          <w:szCs w:val="24"/>
        </w:rPr>
      </w:pPr>
      <w:bookmarkStart w:id="20" w:name="_Toc112316697"/>
      <w:bookmarkStart w:id="21" w:name="_Toc112322176"/>
      <w:r w:rsidRPr="00B43210">
        <w:rPr>
          <w:rFonts w:ascii="Arial" w:eastAsiaTheme="majorEastAsia" w:hAnsi="Arial" w:cs="Arial"/>
          <w:b/>
          <w:color w:val="61207F"/>
          <w:sz w:val="24"/>
          <w:szCs w:val="24"/>
        </w:rPr>
        <w:t>Responsibility</w:t>
      </w:r>
      <w:bookmarkEnd w:id="20"/>
      <w:bookmarkEnd w:id="21"/>
    </w:p>
    <w:p w14:paraId="51546613" w14:textId="77777777" w:rsidR="00B43210" w:rsidRPr="00B43210" w:rsidRDefault="00B43210" w:rsidP="00B43210">
      <w:pPr>
        <w:spacing w:after="0" w:line="240" w:lineRule="auto"/>
        <w:rPr>
          <w:rFonts w:ascii="Arial" w:eastAsia="Calibri" w:hAnsi="Arial" w:cs="Arial"/>
          <w:sz w:val="24"/>
          <w:szCs w:val="24"/>
        </w:rPr>
      </w:pPr>
    </w:p>
    <w:p w14:paraId="2DDCC6E3" w14:textId="77777777" w:rsidR="00B43210" w:rsidRPr="00B43210" w:rsidRDefault="00B43210" w:rsidP="00B43210">
      <w:pPr>
        <w:autoSpaceDE w:val="0"/>
        <w:autoSpaceDN w:val="0"/>
        <w:adjustRightInd w:val="0"/>
        <w:spacing w:after="0" w:line="240" w:lineRule="auto"/>
        <w:ind w:hanging="709"/>
        <w:rPr>
          <w:rFonts w:ascii="Arial" w:eastAsia="Calibri" w:hAnsi="Arial" w:cs="Arial"/>
          <w:color w:val="000000" w:themeColor="text1"/>
          <w:sz w:val="24"/>
          <w:szCs w:val="24"/>
        </w:rPr>
      </w:pPr>
      <w:r w:rsidRPr="00B43210">
        <w:rPr>
          <w:rFonts w:ascii="Arial" w:eastAsia="Calibri" w:hAnsi="Arial" w:cs="Arial"/>
          <w:sz w:val="24"/>
          <w:szCs w:val="24"/>
        </w:rPr>
        <w:t>9.1</w:t>
      </w:r>
      <w:r w:rsidRPr="00B43210">
        <w:rPr>
          <w:rFonts w:ascii="Arial" w:eastAsia="Calibri" w:hAnsi="Arial" w:cs="Arial"/>
          <w:color w:val="000000" w:themeColor="text1"/>
        </w:rPr>
        <w:tab/>
      </w:r>
      <w:r w:rsidRPr="00B43210">
        <w:rPr>
          <w:rFonts w:ascii="Arial" w:eastAsia="Calibri" w:hAnsi="Arial" w:cs="Arial"/>
          <w:color w:val="000000" w:themeColor="text1"/>
          <w:sz w:val="24"/>
          <w:szCs w:val="24"/>
        </w:rPr>
        <w:t>The Administering Authority must be satisfied that risks are appropriately managed.  For this purpose, the officers are responsible for ensuring the process outlined below is carried out, subject to the oversight of the Pension Fund Committee and Pension Fund Board.</w:t>
      </w:r>
    </w:p>
    <w:p w14:paraId="09C6C018" w14:textId="77777777" w:rsidR="00B43210" w:rsidRPr="00B43210" w:rsidRDefault="00B43210" w:rsidP="00B43210">
      <w:pPr>
        <w:autoSpaceDE w:val="0"/>
        <w:autoSpaceDN w:val="0"/>
        <w:adjustRightInd w:val="0"/>
        <w:spacing w:after="0" w:line="240" w:lineRule="auto"/>
        <w:ind w:hanging="709"/>
        <w:rPr>
          <w:rFonts w:ascii="Arial" w:eastAsia="Calibri" w:hAnsi="Arial" w:cs="Arial"/>
          <w:color w:val="000000" w:themeColor="text1"/>
          <w:sz w:val="24"/>
          <w:szCs w:val="24"/>
        </w:rPr>
      </w:pPr>
    </w:p>
    <w:p w14:paraId="28C41317"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However, it is the responsibility of each individual covered by this Strategy to identify any potential risks for the Fund and ensure that they are fed into the risk management process.</w:t>
      </w:r>
    </w:p>
    <w:p w14:paraId="051D1FF1" w14:textId="77777777" w:rsidR="00B43210" w:rsidRPr="00B43210" w:rsidRDefault="00B43210" w:rsidP="00B43210">
      <w:pPr>
        <w:autoSpaceDE w:val="0"/>
        <w:autoSpaceDN w:val="0"/>
        <w:adjustRightInd w:val="0"/>
        <w:spacing w:after="0" w:line="240" w:lineRule="auto"/>
        <w:ind w:left="567"/>
        <w:jc w:val="both"/>
        <w:rPr>
          <w:rFonts w:ascii="Arial" w:eastAsia="Calibri" w:hAnsi="Arial" w:cs="Arial"/>
          <w:color w:val="000000" w:themeColor="text1"/>
          <w:sz w:val="24"/>
          <w:szCs w:val="24"/>
        </w:rPr>
      </w:pPr>
    </w:p>
    <w:p w14:paraId="495F1813" w14:textId="77777777" w:rsidR="00B43210" w:rsidRPr="00B43210" w:rsidRDefault="00B43210" w:rsidP="00B43210">
      <w:pPr>
        <w:keepNext/>
        <w:keepLines/>
        <w:numPr>
          <w:ilvl w:val="0"/>
          <w:numId w:val="8"/>
        </w:numPr>
        <w:tabs>
          <w:tab w:val="center" w:pos="4513"/>
          <w:tab w:val="right" w:pos="9026"/>
        </w:tabs>
        <w:spacing w:after="0" w:line="240" w:lineRule="auto"/>
        <w:ind w:left="0" w:hanging="709"/>
        <w:outlineLvl w:val="0"/>
        <w:rPr>
          <w:rFonts w:ascii="Arial" w:eastAsiaTheme="majorEastAsia" w:hAnsi="Arial" w:cs="Arial"/>
          <w:b/>
          <w:color w:val="61207F"/>
          <w:sz w:val="24"/>
          <w:szCs w:val="24"/>
        </w:rPr>
      </w:pPr>
      <w:bookmarkStart w:id="22" w:name="_Toc112316698"/>
      <w:bookmarkStart w:id="23" w:name="_Toc112322177"/>
      <w:r w:rsidRPr="00B43210">
        <w:rPr>
          <w:rFonts w:ascii="Arial" w:eastAsiaTheme="majorEastAsia" w:hAnsi="Arial" w:cs="Arial"/>
          <w:b/>
          <w:color w:val="61207F"/>
          <w:sz w:val="24"/>
          <w:szCs w:val="24"/>
        </w:rPr>
        <w:t>The Cambridgeshire Pension Fund Risk Management Process</w:t>
      </w:r>
      <w:bookmarkEnd w:id="22"/>
      <w:bookmarkEnd w:id="23"/>
    </w:p>
    <w:p w14:paraId="602B5B3B" w14:textId="77777777" w:rsidR="00B43210" w:rsidRPr="00B43210" w:rsidRDefault="00B43210" w:rsidP="00B43210">
      <w:pPr>
        <w:autoSpaceDE w:val="0"/>
        <w:autoSpaceDN w:val="0"/>
        <w:adjustRightInd w:val="0"/>
        <w:spacing w:after="0" w:line="240" w:lineRule="auto"/>
        <w:ind w:left="567" w:hanging="709"/>
        <w:rPr>
          <w:rFonts w:ascii="Arial" w:eastAsia="Calibri" w:hAnsi="Arial" w:cs="Arial"/>
          <w:sz w:val="24"/>
          <w:szCs w:val="24"/>
        </w:rPr>
      </w:pPr>
    </w:p>
    <w:p w14:paraId="7A57C776" w14:textId="77777777" w:rsidR="00B43210" w:rsidRPr="00B43210" w:rsidRDefault="00B43210" w:rsidP="00B43210">
      <w:pPr>
        <w:autoSpaceDE w:val="0"/>
        <w:autoSpaceDN w:val="0"/>
        <w:adjustRightInd w:val="0"/>
        <w:spacing w:after="0" w:line="240" w:lineRule="auto"/>
        <w:ind w:hanging="709"/>
        <w:rPr>
          <w:rFonts w:ascii="Arial" w:eastAsia="Calibri" w:hAnsi="Arial" w:cs="Arial"/>
          <w:sz w:val="24"/>
          <w:szCs w:val="24"/>
        </w:rPr>
      </w:pPr>
      <w:r w:rsidRPr="00B43210">
        <w:rPr>
          <w:rFonts w:ascii="Arial" w:eastAsia="Calibri" w:hAnsi="Arial" w:cs="Arial"/>
          <w:sz w:val="24"/>
          <w:szCs w:val="24"/>
        </w:rPr>
        <w:t>10.1</w:t>
      </w:r>
      <w:r w:rsidRPr="00B43210">
        <w:rPr>
          <w:rFonts w:ascii="Arial" w:eastAsia="Calibri" w:hAnsi="Arial" w:cs="Arial"/>
          <w:sz w:val="24"/>
          <w:szCs w:val="24"/>
        </w:rPr>
        <w:tab/>
        <w:t>The Administering Authority's risk management process is in line with that recommended by CIPFA and is a continuous approach which systematically looks at risks surrounding the Fund’s past, present and future activities.  The main processes involved in risk management are identified in the figure below and detailed in the following sections.</w:t>
      </w:r>
    </w:p>
    <w:p w14:paraId="148C02B0" w14:textId="77777777" w:rsidR="00B43210" w:rsidRPr="00B43210" w:rsidRDefault="00B43210" w:rsidP="00B43210">
      <w:pPr>
        <w:autoSpaceDE w:val="0"/>
        <w:autoSpaceDN w:val="0"/>
        <w:adjustRightInd w:val="0"/>
        <w:spacing w:after="0" w:line="240" w:lineRule="auto"/>
        <w:jc w:val="both"/>
        <w:rPr>
          <w:rFonts w:ascii="Arial" w:eastAsia="Calibri" w:hAnsi="Arial" w:cs="Arial"/>
          <w:color w:val="000000" w:themeColor="text1"/>
        </w:rPr>
      </w:pPr>
      <w:r w:rsidRPr="00B43210">
        <w:rPr>
          <w:rFonts w:ascii="Arial" w:eastAsia="Calibri" w:hAnsi="Arial" w:cs="Arial"/>
          <w:noProof/>
          <w:color w:val="000000" w:themeColor="text1"/>
          <w:lang w:eastAsia="en-GB"/>
        </w:rPr>
        <w:drawing>
          <wp:inline distT="0" distB="0" distL="0" distR="0" wp14:anchorId="742387DB" wp14:editId="0AB6F5AC">
            <wp:extent cx="5172075" cy="3124200"/>
            <wp:effectExtent l="0" t="0" r="0" b="19050"/>
            <wp:docPr id="1" name="Diagram 25" descr="Risk cycle"/>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A4FE77D" w14:textId="77777777" w:rsidR="00B43210" w:rsidRPr="00B43210" w:rsidRDefault="00B43210" w:rsidP="00B43210">
      <w:pPr>
        <w:autoSpaceDE w:val="0"/>
        <w:autoSpaceDN w:val="0"/>
        <w:adjustRightInd w:val="0"/>
        <w:spacing w:after="0" w:line="240" w:lineRule="auto"/>
        <w:ind w:hanging="709"/>
        <w:jc w:val="both"/>
        <w:rPr>
          <w:rFonts w:ascii="Arial" w:eastAsia="Calibri" w:hAnsi="Arial" w:cs="Arial"/>
          <w:bCs/>
          <w:sz w:val="24"/>
          <w:szCs w:val="24"/>
        </w:rPr>
      </w:pPr>
    </w:p>
    <w:p w14:paraId="4670802D" w14:textId="77777777" w:rsidR="00B43210" w:rsidRPr="00B43210" w:rsidRDefault="00B43210" w:rsidP="00B43210">
      <w:pPr>
        <w:autoSpaceDE w:val="0"/>
        <w:autoSpaceDN w:val="0"/>
        <w:adjustRightInd w:val="0"/>
        <w:spacing w:after="0" w:line="240" w:lineRule="auto"/>
        <w:ind w:hanging="709"/>
        <w:jc w:val="both"/>
        <w:rPr>
          <w:rFonts w:ascii="Arial" w:eastAsia="Calibri" w:hAnsi="Arial" w:cs="Arial"/>
          <w:bCs/>
          <w:sz w:val="24"/>
          <w:szCs w:val="24"/>
        </w:rPr>
      </w:pPr>
    </w:p>
    <w:p w14:paraId="64F2090D" w14:textId="77777777" w:rsidR="00B43210" w:rsidRPr="00B43210" w:rsidRDefault="00B43210" w:rsidP="00B43210">
      <w:pPr>
        <w:autoSpaceDE w:val="0"/>
        <w:autoSpaceDN w:val="0"/>
        <w:adjustRightInd w:val="0"/>
        <w:spacing w:after="0" w:line="240" w:lineRule="auto"/>
        <w:ind w:hanging="709"/>
        <w:jc w:val="both"/>
        <w:rPr>
          <w:rFonts w:ascii="Arial" w:eastAsia="Calibri" w:hAnsi="Arial" w:cs="Arial"/>
          <w:bCs/>
          <w:sz w:val="24"/>
          <w:szCs w:val="24"/>
        </w:rPr>
      </w:pPr>
    </w:p>
    <w:p w14:paraId="3452153C" w14:textId="77777777" w:rsidR="00B43210" w:rsidRPr="00B43210" w:rsidRDefault="00B43210" w:rsidP="00B43210">
      <w:pPr>
        <w:autoSpaceDE w:val="0"/>
        <w:autoSpaceDN w:val="0"/>
        <w:adjustRightInd w:val="0"/>
        <w:spacing w:after="0" w:line="240" w:lineRule="auto"/>
        <w:ind w:hanging="709"/>
        <w:jc w:val="both"/>
        <w:rPr>
          <w:rFonts w:ascii="Arial" w:eastAsia="Calibri" w:hAnsi="Arial" w:cs="Arial"/>
          <w:bCs/>
          <w:sz w:val="24"/>
          <w:szCs w:val="24"/>
        </w:rPr>
      </w:pPr>
      <w:r w:rsidRPr="00B43210">
        <w:rPr>
          <w:rFonts w:ascii="Arial" w:eastAsia="Calibri" w:hAnsi="Arial" w:cs="Arial"/>
          <w:bCs/>
          <w:sz w:val="24"/>
          <w:szCs w:val="24"/>
        </w:rPr>
        <w:lastRenderedPageBreak/>
        <w:t>10.2</w:t>
      </w:r>
      <w:r w:rsidRPr="00B43210">
        <w:rPr>
          <w:rFonts w:ascii="Arial" w:eastAsia="Calibri" w:hAnsi="Arial" w:cs="Arial"/>
          <w:bCs/>
          <w:sz w:val="24"/>
          <w:szCs w:val="24"/>
        </w:rPr>
        <w:tab/>
      </w:r>
      <w:r w:rsidRPr="00B43210">
        <w:rPr>
          <w:rFonts w:ascii="Arial" w:eastAsiaTheme="majorEastAsia" w:hAnsi="Arial" w:cs="Arial"/>
          <w:b/>
          <w:color w:val="244D7A"/>
          <w:sz w:val="24"/>
          <w:szCs w:val="26"/>
        </w:rPr>
        <w:t>Risk identification</w:t>
      </w:r>
      <w:r w:rsidRPr="00B43210">
        <w:rPr>
          <w:rFonts w:ascii="Arial" w:eastAsiaTheme="majorEastAsia" w:hAnsi="Arial" w:cs="Arial"/>
          <w:bCs/>
          <w:color w:val="244D7A"/>
          <w:sz w:val="24"/>
          <w:szCs w:val="26"/>
        </w:rPr>
        <w:t xml:space="preserve"> </w:t>
      </w:r>
    </w:p>
    <w:p w14:paraId="4C056CA6" w14:textId="77777777" w:rsidR="00B43210" w:rsidRPr="00B43210" w:rsidRDefault="00B43210" w:rsidP="00B43210">
      <w:pPr>
        <w:autoSpaceDE w:val="0"/>
        <w:autoSpaceDN w:val="0"/>
        <w:adjustRightInd w:val="0"/>
        <w:spacing w:after="0" w:line="240" w:lineRule="auto"/>
        <w:ind w:left="567" w:hanging="567"/>
        <w:jc w:val="both"/>
        <w:rPr>
          <w:rFonts w:ascii="Arial" w:eastAsia="Calibri" w:hAnsi="Arial" w:cs="Arial"/>
          <w:sz w:val="24"/>
          <w:szCs w:val="24"/>
        </w:rPr>
      </w:pPr>
    </w:p>
    <w:p w14:paraId="0725EB95" w14:textId="77777777" w:rsidR="00B43210" w:rsidRPr="00B43210" w:rsidRDefault="00B43210" w:rsidP="00B43210">
      <w:pPr>
        <w:autoSpaceDE w:val="0"/>
        <w:autoSpaceDN w:val="0"/>
        <w:adjustRightInd w:val="0"/>
        <w:spacing w:after="0" w:line="240" w:lineRule="auto"/>
        <w:rPr>
          <w:rFonts w:ascii="Arial" w:eastAsia="Calibri" w:hAnsi="Arial" w:cs="Arial"/>
          <w:sz w:val="24"/>
          <w:szCs w:val="24"/>
        </w:rPr>
      </w:pPr>
      <w:r w:rsidRPr="00B43210">
        <w:rPr>
          <w:rFonts w:ascii="Arial" w:eastAsia="Calibri" w:hAnsi="Arial" w:cs="Arial"/>
          <w:sz w:val="24"/>
          <w:szCs w:val="24"/>
        </w:rPr>
        <w:t>The risk identification process is both a proactive and reactive one: looking forward i.e. horizon scanning for potential risks, and looking back, by learning lessons from reviewing how previous decisions and existing processes have manifested in risks to the organisation.</w:t>
      </w:r>
    </w:p>
    <w:p w14:paraId="54CB6D59"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p>
    <w:p w14:paraId="1B2ECE58"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Risks are identified by a number of means including, but not limited to:</w:t>
      </w:r>
    </w:p>
    <w:p w14:paraId="6DAEC5BB"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p>
    <w:p w14:paraId="64E486E0" w14:textId="77777777" w:rsidR="00B43210" w:rsidRPr="00B43210" w:rsidRDefault="00B43210" w:rsidP="00B43210">
      <w:pPr>
        <w:numPr>
          <w:ilvl w:val="0"/>
          <w:numId w:val="1"/>
        </w:numPr>
        <w:autoSpaceDE w:val="0"/>
        <w:autoSpaceDN w:val="0"/>
        <w:adjustRightInd w:val="0"/>
        <w:spacing w:after="200" w:line="276" w:lineRule="auto"/>
        <w:ind w:hanging="284"/>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formal risk assessment exercises overseen by the Pension Fund Committee and Pension Fund Board</w:t>
      </w:r>
    </w:p>
    <w:p w14:paraId="2E17279A" w14:textId="77777777" w:rsidR="00B43210" w:rsidRPr="00B43210" w:rsidRDefault="00B43210" w:rsidP="00B43210">
      <w:pPr>
        <w:numPr>
          <w:ilvl w:val="0"/>
          <w:numId w:val="1"/>
        </w:numPr>
        <w:autoSpaceDE w:val="0"/>
        <w:autoSpaceDN w:val="0"/>
        <w:adjustRightInd w:val="0"/>
        <w:spacing w:after="200" w:line="276" w:lineRule="auto"/>
        <w:ind w:hanging="284"/>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performance measurement against agreed objectives</w:t>
      </w:r>
    </w:p>
    <w:p w14:paraId="49570BD2" w14:textId="77777777" w:rsidR="00B43210" w:rsidRPr="00B43210" w:rsidRDefault="00B43210" w:rsidP="00B43210">
      <w:pPr>
        <w:numPr>
          <w:ilvl w:val="0"/>
          <w:numId w:val="1"/>
        </w:numPr>
        <w:autoSpaceDE w:val="0"/>
        <w:autoSpaceDN w:val="0"/>
        <w:adjustRightInd w:val="0"/>
        <w:spacing w:after="200" w:line="276" w:lineRule="auto"/>
        <w:ind w:hanging="284"/>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monitoring against the Fund's business plan</w:t>
      </w:r>
    </w:p>
    <w:p w14:paraId="2B6D5F11" w14:textId="77777777" w:rsidR="00B43210" w:rsidRPr="00B43210" w:rsidRDefault="00B43210" w:rsidP="00B43210">
      <w:pPr>
        <w:numPr>
          <w:ilvl w:val="0"/>
          <w:numId w:val="1"/>
        </w:numPr>
        <w:autoSpaceDE w:val="0"/>
        <w:autoSpaceDN w:val="0"/>
        <w:adjustRightInd w:val="0"/>
        <w:spacing w:after="200" w:line="276" w:lineRule="auto"/>
        <w:ind w:hanging="284"/>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findings of internal and external audit and other adviser reports</w:t>
      </w:r>
    </w:p>
    <w:p w14:paraId="1DE4D89C" w14:textId="77777777" w:rsidR="00B43210" w:rsidRPr="00B43210" w:rsidRDefault="00B43210" w:rsidP="00B43210">
      <w:pPr>
        <w:numPr>
          <w:ilvl w:val="0"/>
          <w:numId w:val="1"/>
        </w:numPr>
        <w:autoSpaceDE w:val="0"/>
        <w:autoSpaceDN w:val="0"/>
        <w:adjustRightInd w:val="0"/>
        <w:spacing w:after="200" w:line="276" w:lineRule="auto"/>
        <w:ind w:hanging="284"/>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feedback from the local Pension Board, employers and other stakeholders</w:t>
      </w:r>
    </w:p>
    <w:p w14:paraId="6F568C72" w14:textId="77777777" w:rsidR="00B43210" w:rsidRPr="00B43210" w:rsidRDefault="00B43210" w:rsidP="00B43210">
      <w:pPr>
        <w:numPr>
          <w:ilvl w:val="0"/>
          <w:numId w:val="1"/>
        </w:numPr>
        <w:autoSpaceDE w:val="0"/>
        <w:autoSpaceDN w:val="0"/>
        <w:adjustRightInd w:val="0"/>
        <w:spacing w:after="200" w:line="276" w:lineRule="auto"/>
        <w:ind w:hanging="284"/>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informal meetings of senior officers or other staff involved in the management of the Fund</w:t>
      </w:r>
    </w:p>
    <w:p w14:paraId="6656DEF5" w14:textId="77777777" w:rsidR="00B43210" w:rsidRPr="00B43210" w:rsidRDefault="00B43210" w:rsidP="00B43210">
      <w:pPr>
        <w:numPr>
          <w:ilvl w:val="0"/>
          <w:numId w:val="1"/>
        </w:numPr>
        <w:autoSpaceDE w:val="0"/>
        <w:autoSpaceDN w:val="0"/>
        <w:adjustRightInd w:val="0"/>
        <w:spacing w:after="200" w:line="276" w:lineRule="auto"/>
        <w:ind w:hanging="284"/>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liaison with other organisations, regional and national associations, professional groups, etc.</w:t>
      </w:r>
    </w:p>
    <w:p w14:paraId="2DB44C6C" w14:textId="77777777" w:rsidR="00B43210" w:rsidRPr="00B43210" w:rsidRDefault="00B43210" w:rsidP="00B43210">
      <w:pPr>
        <w:autoSpaceDE w:val="0"/>
        <w:autoSpaceDN w:val="0"/>
        <w:adjustRightInd w:val="0"/>
        <w:spacing w:after="0" w:line="240" w:lineRule="auto"/>
        <w:jc w:val="both"/>
        <w:rPr>
          <w:rFonts w:ascii="Arial" w:eastAsia="Calibri" w:hAnsi="Arial" w:cs="Arial"/>
          <w:color w:val="000000" w:themeColor="text1"/>
          <w:sz w:val="24"/>
          <w:szCs w:val="24"/>
        </w:rPr>
      </w:pPr>
    </w:p>
    <w:p w14:paraId="78E4A8E4"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 xml:space="preserve">Once identified, risks will be documented on the Fund's risk register, which is the primary control document for the subsequent analysis, control and monitoring of those risks. </w:t>
      </w:r>
    </w:p>
    <w:p w14:paraId="773034FA"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p>
    <w:p w14:paraId="0F6D484B" w14:textId="77777777" w:rsidR="00B43210" w:rsidRPr="00B43210" w:rsidRDefault="00B43210" w:rsidP="00B43210">
      <w:pPr>
        <w:autoSpaceDE w:val="0"/>
        <w:autoSpaceDN w:val="0"/>
        <w:adjustRightInd w:val="0"/>
        <w:spacing w:after="0" w:line="240" w:lineRule="auto"/>
        <w:ind w:hanging="709"/>
        <w:jc w:val="both"/>
        <w:rPr>
          <w:rFonts w:ascii="Arial" w:eastAsia="Calibri" w:hAnsi="Arial" w:cs="Arial"/>
          <w:sz w:val="24"/>
          <w:szCs w:val="24"/>
        </w:rPr>
      </w:pPr>
      <w:r w:rsidRPr="00B43210">
        <w:rPr>
          <w:rFonts w:ascii="Arial" w:eastAsia="Calibri" w:hAnsi="Arial" w:cs="Arial"/>
          <w:sz w:val="24"/>
          <w:szCs w:val="24"/>
        </w:rPr>
        <w:t>10.3</w:t>
      </w:r>
      <w:r w:rsidRPr="00B43210">
        <w:rPr>
          <w:rFonts w:ascii="Arial" w:eastAsia="Calibri" w:hAnsi="Arial" w:cs="Arial"/>
          <w:sz w:val="24"/>
          <w:szCs w:val="24"/>
        </w:rPr>
        <w:tab/>
      </w:r>
      <w:r w:rsidRPr="00B43210">
        <w:rPr>
          <w:rFonts w:ascii="Arial" w:eastAsiaTheme="majorEastAsia" w:hAnsi="Arial" w:cs="Arial"/>
          <w:b/>
          <w:color w:val="244D7A"/>
          <w:sz w:val="24"/>
          <w:szCs w:val="26"/>
        </w:rPr>
        <w:t>Risk analysis</w:t>
      </w:r>
    </w:p>
    <w:p w14:paraId="6E7B2741" w14:textId="77777777" w:rsidR="00B43210" w:rsidRPr="00B43210" w:rsidRDefault="00B43210" w:rsidP="00B43210">
      <w:pPr>
        <w:autoSpaceDE w:val="0"/>
        <w:autoSpaceDN w:val="0"/>
        <w:adjustRightInd w:val="0"/>
        <w:spacing w:after="0" w:line="240" w:lineRule="auto"/>
        <w:ind w:hanging="709"/>
        <w:jc w:val="both"/>
        <w:rPr>
          <w:rFonts w:ascii="Arial" w:eastAsia="Calibri" w:hAnsi="Arial" w:cs="Arial"/>
          <w:sz w:val="24"/>
          <w:szCs w:val="24"/>
        </w:rPr>
      </w:pPr>
    </w:p>
    <w:p w14:paraId="059DE9CB"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 xml:space="preserve">Once potential risks have been identified, the next stage of the process is to analyse and profile each risk. Risks will be assessed by considering the likelihood of the risk occurring and the effect if it does occur, with the score for likelihood multiplied by the score for impact to determine the current overall risk rating, as illustrated in the table below. </w:t>
      </w:r>
    </w:p>
    <w:p w14:paraId="161EC9EB" w14:textId="77777777" w:rsidR="00B43210" w:rsidRPr="00B43210" w:rsidRDefault="00B43210" w:rsidP="00B43210">
      <w:pPr>
        <w:autoSpaceDE w:val="0"/>
        <w:autoSpaceDN w:val="0"/>
        <w:adjustRightInd w:val="0"/>
        <w:spacing w:after="0" w:line="240" w:lineRule="auto"/>
        <w:ind w:left="567"/>
        <w:rPr>
          <w:rFonts w:ascii="Arial" w:eastAsia="Calibri" w:hAnsi="Arial" w:cs="Arial"/>
          <w:color w:val="000000" w:themeColor="text1"/>
          <w:sz w:val="24"/>
          <w:szCs w:val="24"/>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4"/>
        <w:gridCol w:w="1226"/>
        <w:gridCol w:w="1230"/>
        <w:gridCol w:w="1232"/>
        <w:gridCol w:w="1227"/>
        <w:gridCol w:w="1231"/>
      </w:tblGrid>
      <w:tr w:rsidR="00B43210" w:rsidRPr="00B43210" w14:paraId="2F19B0A4" w14:textId="77777777" w:rsidTr="00043F03">
        <w:trPr>
          <w:cantSplit/>
          <w:trHeight w:val="429"/>
          <w:jc w:val="center"/>
        </w:trPr>
        <w:tc>
          <w:tcPr>
            <w:tcW w:w="1545" w:type="dxa"/>
            <w:vMerge w:val="restart"/>
            <w:tcBorders>
              <w:top w:val="nil"/>
              <w:left w:val="nil"/>
              <w:bottom w:val="nil"/>
              <w:right w:val="single" w:sz="4" w:space="0" w:color="auto"/>
            </w:tcBorders>
            <w:vAlign w:val="center"/>
          </w:tcPr>
          <w:p w14:paraId="3635068D" w14:textId="77777777" w:rsidR="00B43210" w:rsidRPr="00B43210" w:rsidRDefault="00B43210" w:rsidP="00B43210">
            <w:pPr>
              <w:autoSpaceDE w:val="0"/>
              <w:autoSpaceDN w:val="0"/>
              <w:adjustRightInd w:val="0"/>
              <w:spacing w:after="0" w:line="240" w:lineRule="auto"/>
              <w:jc w:val="center"/>
              <w:rPr>
                <w:rFonts w:ascii="Arial" w:eastAsia="Calibri" w:hAnsi="Arial" w:cs="Arial"/>
                <w:b/>
                <w:color w:val="000000" w:themeColor="text1"/>
              </w:rPr>
            </w:pPr>
            <w:r w:rsidRPr="00B43210">
              <w:rPr>
                <w:rFonts w:ascii="Arial" w:eastAsia="Calibri" w:hAnsi="Arial" w:cs="Arial"/>
                <w:b/>
                <w:color w:val="000000" w:themeColor="text1"/>
              </w:rPr>
              <w:t>Potential impact if risk occurred</w:t>
            </w:r>
          </w:p>
        </w:tc>
        <w:tc>
          <w:tcPr>
            <w:tcW w:w="1574" w:type="dxa"/>
            <w:tcBorders>
              <w:left w:val="single" w:sz="4" w:space="0" w:color="auto"/>
              <w:right w:val="single" w:sz="4" w:space="0" w:color="505150"/>
            </w:tcBorders>
            <w:vAlign w:val="center"/>
          </w:tcPr>
          <w:p w14:paraId="2B492252"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5</w:t>
            </w:r>
          </w:p>
          <w:p w14:paraId="2FB66820"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Catastrophic</w:t>
            </w:r>
          </w:p>
        </w:tc>
        <w:tc>
          <w:tcPr>
            <w:tcW w:w="1226"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03C56048"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5</w:t>
            </w:r>
          </w:p>
        </w:tc>
        <w:tc>
          <w:tcPr>
            <w:tcW w:w="1230" w:type="dxa"/>
            <w:tcBorders>
              <w:top w:val="single" w:sz="4" w:space="0" w:color="505150"/>
              <w:left w:val="single" w:sz="4" w:space="0" w:color="505150"/>
              <w:bottom w:val="single" w:sz="4" w:space="0" w:color="505150"/>
              <w:right w:val="single" w:sz="4" w:space="0" w:color="505150"/>
            </w:tcBorders>
            <w:shd w:val="clear" w:color="auto" w:fill="FFFF00"/>
            <w:vAlign w:val="center"/>
          </w:tcPr>
          <w:p w14:paraId="460B56AA"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10</w:t>
            </w:r>
          </w:p>
        </w:tc>
        <w:tc>
          <w:tcPr>
            <w:tcW w:w="1232" w:type="dxa"/>
            <w:tcBorders>
              <w:top w:val="single" w:sz="4" w:space="0" w:color="505150"/>
              <w:left w:val="single" w:sz="4" w:space="0" w:color="505150"/>
              <w:bottom w:val="single" w:sz="4" w:space="0" w:color="505150"/>
              <w:right w:val="single" w:sz="4" w:space="0" w:color="505150"/>
            </w:tcBorders>
            <w:shd w:val="clear" w:color="auto" w:fill="FF0000"/>
            <w:vAlign w:val="center"/>
          </w:tcPr>
          <w:p w14:paraId="3C088D8D"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15</w:t>
            </w:r>
          </w:p>
        </w:tc>
        <w:tc>
          <w:tcPr>
            <w:tcW w:w="1227" w:type="dxa"/>
            <w:tcBorders>
              <w:top w:val="single" w:sz="4" w:space="0" w:color="505150"/>
              <w:left w:val="single" w:sz="4" w:space="0" w:color="505150"/>
              <w:bottom w:val="single" w:sz="4" w:space="0" w:color="505150"/>
              <w:right w:val="single" w:sz="4" w:space="0" w:color="505150"/>
            </w:tcBorders>
            <w:shd w:val="clear" w:color="auto" w:fill="FF0000"/>
            <w:vAlign w:val="center"/>
          </w:tcPr>
          <w:p w14:paraId="2F2B333D"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20</w:t>
            </w:r>
          </w:p>
        </w:tc>
        <w:tc>
          <w:tcPr>
            <w:tcW w:w="1231" w:type="dxa"/>
            <w:tcBorders>
              <w:top w:val="single" w:sz="4" w:space="0" w:color="505150"/>
              <w:left w:val="single" w:sz="4" w:space="0" w:color="505150"/>
              <w:bottom w:val="single" w:sz="4" w:space="0" w:color="505150"/>
              <w:right w:val="single" w:sz="4" w:space="0" w:color="505150"/>
            </w:tcBorders>
            <w:shd w:val="clear" w:color="auto" w:fill="FF0000"/>
            <w:vAlign w:val="center"/>
          </w:tcPr>
          <w:p w14:paraId="27597CE9"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25</w:t>
            </w:r>
          </w:p>
        </w:tc>
      </w:tr>
      <w:tr w:rsidR="00B43210" w:rsidRPr="00B43210" w14:paraId="67F04B2C" w14:textId="77777777" w:rsidTr="00043F03">
        <w:trPr>
          <w:cantSplit/>
          <w:trHeight w:val="429"/>
          <w:jc w:val="center"/>
        </w:trPr>
        <w:tc>
          <w:tcPr>
            <w:tcW w:w="1545" w:type="dxa"/>
            <w:vMerge/>
            <w:tcBorders>
              <w:top w:val="nil"/>
              <w:left w:val="nil"/>
              <w:bottom w:val="nil"/>
              <w:right w:val="single" w:sz="4" w:space="0" w:color="auto"/>
            </w:tcBorders>
            <w:vAlign w:val="center"/>
          </w:tcPr>
          <w:p w14:paraId="079A4DB0"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p>
        </w:tc>
        <w:tc>
          <w:tcPr>
            <w:tcW w:w="1574" w:type="dxa"/>
            <w:tcBorders>
              <w:left w:val="single" w:sz="4" w:space="0" w:color="auto"/>
              <w:right w:val="single" w:sz="4" w:space="0" w:color="505150"/>
            </w:tcBorders>
            <w:vAlign w:val="center"/>
          </w:tcPr>
          <w:p w14:paraId="45A2FEB4"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 xml:space="preserve">4 </w:t>
            </w:r>
          </w:p>
          <w:p w14:paraId="191207D9"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Major</w:t>
            </w:r>
          </w:p>
        </w:tc>
        <w:tc>
          <w:tcPr>
            <w:tcW w:w="1226"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63C3DC1B"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4</w:t>
            </w:r>
          </w:p>
        </w:tc>
        <w:tc>
          <w:tcPr>
            <w:tcW w:w="1230" w:type="dxa"/>
            <w:tcBorders>
              <w:top w:val="single" w:sz="4" w:space="0" w:color="505150"/>
              <w:left w:val="single" w:sz="4" w:space="0" w:color="505150"/>
              <w:bottom w:val="single" w:sz="4" w:space="0" w:color="505150"/>
              <w:right w:val="single" w:sz="4" w:space="0" w:color="505150"/>
            </w:tcBorders>
            <w:shd w:val="clear" w:color="auto" w:fill="FFFF00"/>
            <w:vAlign w:val="center"/>
          </w:tcPr>
          <w:p w14:paraId="6BDFF490"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8</w:t>
            </w:r>
          </w:p>
        </w:tc>
        <w:tc>
          <w:tcPr>
            <w:tcW w:w="1232" w:type="dxa"/>
            <w:tcBorders>
              <w:top w:val="single" w:sz="4" w:space="0" w:color="505150"/>
              <w:left w:val="single" w:sz="4" w:space="0" w:color="505150"/>
              <w:bottom w:val="single" w:sz="4" w:space="0" w:color="505150"/>
              <w:right w:val="single" w:sz="4" w:space="0" w:color="505150"/>
            </w:tcBorders>
            <w:shd w:val="clear" w:color="auto" w:fill="FFFF00"/>
            <w:vAlign w:val="center"/>
          </w:tcPr>
          <w:p w14:paraId="09B622B7"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12</w:t>
            </w:r>
          </w:p>
        </w:tc>
        <w:tc>
          <w:tcPr>
            <w:tcW w:w="1227" w:type="dxa"/>
            <w:tcBorders>
              <w:top w:val="single" w:sz="4" w:space="0" w:color="505150"/>
              <w:left w:val="single" w:sz="4" w:space="0" w:color="505150"/>
              <w:bottom w:val="single" w:sz="4" w:space="0" w:color="505150"/>
              <w:right w:val="single" w:sz="4" w:space="0" w:color="505150"/>
            </w:tcBorders>
            <w:shd w:val="clear" w:color="auto" w:fill="FF0000"/>
            <w:vAlign w:val="center"/>
          </w:tcPr>
          <w:p w14:paraId="2B5E7743"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16</w:t>
            </w:r>
          </w:p>
        </w:tc>
        <w:tc>
          <w:tcPr>
            <w:tcW w:w="1231" w:type="dxa"/>
            <w:tcBorders>
              <w:top w:val="single" w:sz="4" w:space="0" w:color="505150"/>
              <w:left w:val="single" w:sz="4" w:space="0" w:color="505150"/>
              <w:bottom w:val="single" w:sz="4" w:space="0" w:color="505150"/>
              <w:right w:val="single" w:sz="4" w:space="0" w:color="505150"/>
            </w:tcBorders>
            <w:shd w:val="clear" w:color="auto" w:fill="FF0000"/>
            <w:vAlign w:val="center"/>
          </w:tcPr>
          <w:p w14:paraId="62120254"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20</w:t>
            </w:r>
          </w:p>
        </w:tc>
      </w:tr>
      <w:tr w:rsidR="00B43210" w:rsidRPr="00B43210" w14:paraId="3AC1E357" w14:textId="77777777" w:rsidTr="00043F03">
        <w:trPr>
          <w:cantSplit/>
          <w:trHeight w:val="429"/>
          <w:jc w:val="center"/>
        </w:trPr>
        <w:tc>
          <w:tcPr>
            <w:tcW w:w="1545" w:type="dxa"/>
            <w:vMerge/>
            <w:tcBorders>
              <w:top w:val="nil"/>
              <w:left w:val="nil"/>
              <w:bottom w:val="nil"/>
              <w:right w:val="single" w:sz="4" w:space="0" w:color="auto"/>
            </w:tcBorders>
            <w:vAlign w:val="center"/>
          </w:tcPr>
          <w:p w14:paraId="0880BE17"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p>
        </w:tc>
        <w:tc>
          <w:tcPr>
            <w:tcW w:w="1574" w:type="dxa"/>
            <w:tcBorders>
              <w:left w:val="single" w:sz="4" w:space="0" w:color="auto"/>
              <w:right w:val="single" w:sz="4" w:space="0" w:color="505150"/>
            </w:tcBorders>
            <w:vAlign w:val="center"/>
          </w:tcPr>
          <w:p w14:paraId="4E09296F"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 xml:space="preserve">3 </w:t>
            </w:r>
          </w:p>
          <w:p w14:paraId="50876030"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Moderate</w:t>
            </w:r>
          </w:p>
        </w:tc>
        <w:tc>
          <w:tcPr>
            <w:tcW w:w="1226"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7481FB9C"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3</w:t>
            </w:r>
          </w:p>
        </w:tc>
        <w:tc>
          <w:tcPr>
            <w:tcW w:w="1230"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399E7846"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6</w:t>
            </w:r>
          </w:p>
        </w:tc>
        <w:tc>
          <w:tcPr>
            <w:tcW w:w="1232" w:type="dxa"/>
            <w:tcBorders>
              <w:top w:val="single" w:sz="4" w:space="0" w:color="505150"/>
              <w:left w:val="single" w:sz="4" w:space="0" w:color="505150"/>
              <w:bottom w:val="single" w:sz="4" w:space="0" w:color="505150"/>
              <w:right w:val="single" w:sz="4" w:space="0" w:color="505150"/>
            </w:tcBorders>
            <w:shd w:val="clear" w:color="auto" w:fill="FFFF00"/>
            <w:vAlign w:val="center"/>
          </w:tcPr>
          <w:p w14:paraId="0F78DECA"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9</w:t>
            </w:r>
          </w:p>
        </w:tc>
        <w:tc>
          <w:tcPr>
            <w:tcW w:w="1227" w:type="dxa"/>
            <w:tcBorders>
              <w:top w:val="single" w:sz="4" w:space="0" w:color="505150"/>
              <w:left w:val="single" w:sz="4" w:space="0" w:color="505150"/>
              <w:bottom w:val="single" w:sz="4" w:space="0" w:color="505150"/>
              <w:right w:val="single" w:sz="4" w:space="0" w:color="505150"/>
            </w:tcBorders>
            <w:shd w:val="clear" w:color="auto" w:fill="FFFF00"/>
            <w:vAlign w:val="center"/>
          </w:tcPr>
          <w:p w14:paraId="2B079831"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12</w:t>
            </w:r>
          </w:p>
        </w:tc>
        <w:tc>
          <w:tcPr>
            <w:tcW w:w="1231" w:type="dxa"/>
            <w:tcBorders>
              <w:top w:val="single" w:sz="4" w:space="0" w:color="505150"/>
              <w:left w:val="single" w:sz="4" w:space="0" w:color="505150"/>
              <w:bottom w:val="single" w:sz="4" w:space="0" w:color="505150"/>
              <w:right w:val="single" w:sz="4" w:space="0" w:color="505150"/>
            </w:tcBorders>
            <w:shd w:val="clear" w:color="auto" w:fill="FF0000"/>
            <w:vAlign w:val="center"/>
          </w:tcPr>
          <w:p w14:paraId="5D665B1A"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15</w:t>
            </w:r>
          </w:p>
        </w:tc>
      </w:tr>
      <w:tr w:rsidR="00B43210" w:rsidRPr="00B43210" w14:paraId="7168F22F" w14:textId="77777777" w:rsidTr="00043F03">
        <w:trPr>
          <w:cantSplit/>
          <w:trHeight w:val="429"/>
          <w:jc w:val="center"/>
        </w:trPr>
        <w:tc>
          <w:tcPr>
            <w:tcW w:w="1545" w:type="dxa"/>
            <w:vMerge/>
            <w:tcBorders>
              <w:top w:val="nil"/>
              <w:left w:val="nil"/>
              <w:bottom w:val="nil"/>
              <w:right w:val="single" w:sz="4" w:space="0" w:color="auto"/>
            </w:tcBorders>
            <w:vAlign w:val="center"/>
          </w:tcPr>
          <w:p w14:paraId="3B3B53DA"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p>
        </w:tc>
        <w:tc>
          <w:tcPr>
            <w:tcW w:w="1574" w:type="dxa"/>
            <w:tcBorders>
              <w:left w:val="single" w:sz="4" w:space="0" w:color="auto"/>
              <w:right w:val="single" w:sz="4" w:space="0" w:color="505150"/>
            </w:tcBorders>
            <w:vAlign w:val="center"/>
          </w:tcPr>
          <w:p w14:paraId="6E0CA477"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 xml:space="preserve">2 </w:t>
            </w:r>
          </w:p>
          <w:p w14:paraId="760E5400"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Minor</w:t>
            </w:r>
          </w:p>
        </w:tc>
        <w:tc>
          <w:tcPr>
            <w:tcW w:w="1226"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1EB97E10"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2</w:t>
            </w:r>
          </w:p>
        </w:tc>
        <w:tc>
          <w:tcPr>
            <w:tcW w:w="1230"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4D25DB3E"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4</w:t>
            </w:r>
          </w:p>
        </w:tc>
        <w:tc>
          <w:tcPr>
            <w:tcW w:w="1232"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4058B28A"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6</w:t>
            </w:r>
          </w:p>
        </w:tc>
        <w:tc>
          <w:tcPr>
            <w:tcW w:w="1227" w:type="dxa"/>
            <w:tcBorders>
              <w:top w:val="single" w:sz="4" w:space="0" w:color="505150"/>
              <w:left w:val="single" w:sz="4" w:space="0" w:color="505150"/>
              <w:bottom w:val="single" w:sz="4" w:space="0" w:color="505150"/>
              <w:right w:val="single" w:sz="4" w:space="0" w:color="505150"/>
            </w:tcBorders>
            <w:shd w:val="clear" w:color="auto" w:fill="FFFF00"/>
            <w:vAlign w:val="center"/>
          </w:tcPr>
          <w:p w14:paraId="25C629E2"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8</w:t>
            </w:r>
          </w:p>
        </w:tc>
        <w:tc>
          <w:tcPr>
            <w:tcW w:w="1231" w:type="dxa"/>
            <w:tcBorders>
              <w:top w:val="single" w:sz="4" w:space="0" w:color="505150"/>
              <w:left w:val="single" w:sz="4" w:space="0" w:color="505150"/>
              <w:bottom w:val="single" w:sz="4" w:space="0" w:color="505150"/>
              <w:right w:val="single" w:sz="4" w:space="0" w:color="505150"/>
            </w:tcBorders>
            <w:shd w:val="clear" w:color="auto" w:fill="FFFF00"/>
            <w:vAlign w:val="center"/>
          </w:tcPr>
          <w:p w14:paraId="3E417D19"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10</w:t>
            </w:r>
          </w:p>
        </w:tc>
      </w:tr>
      <w:tr w:rsidR="00B43210" w:rsidRPr="00B43210" w14:paraId="202B2EE4" w14:textId="77777777" w:rsidTr="00043F03">
        <w:trPr>
          <w:cantSplit/>
          <w:trHeight w:val="429"/>
          <w:jc w:val="center"/>
        </w:trPr>
        <w:tc>
          <w:tcPr>
            <w:tcW w:w="1545" w:type="dxa"/>
            <w:vMerge/>
            <w:tcBorders>
              <w:top w:val="nil"/>
              <w:left w:val="nil"/>
              <w:bottom w:val="nil"/>
              <w:right w:val="single" w:sz="4" w:space="0" w:color="auto"/>
            </w:tcBorders>
            <w:vAlign w:val="center"/>
          </w:tcPr>
          <w:p w14:paraId="621FE790"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p>
        </w:tc>
        <w:tc>
          <w:tcPr>
            <w:tcW w:w="1574" w:type="dxa"/>
            <w:tcBorders>
              <w:left w:val="single" w:sz="4" w:space="0" w:color="auto"/>
              <w:right w:val="single" w:sz="4" w:space="0" w:color="505150"/>
            </w:tcBorders>
            <w:vAlign w:val="center"/>
          </w:tcPr>
          <w:p w14:paraId="7D036E21"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 xml:space="preserve">1 </w:t>
            </w:r>
          </w:p>
          <w:p w14:paraId="07A4DAA2"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Insignificant</w:t>
            </w:r>
          </w:p>
        </w:tc>
        <w:tc>
          <w:tcPr>
            <w:tcW w:w="1226"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5A642907"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1</w:t>
            </w:r>
          </w:p>
        </w:tc>
        <w:tc>
          <w:tcPr>
            <w:tcW w:w="1230"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4F86E9E1"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2</w:t>
            </w:r>
          </w:p>
        </w:tc>
        <w:tc>
          <w:tcPr>
            <w:tcW w:w="1232"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05C72BA4"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3</w:t>
            </w:r>
          </w:p>
        </w:tc>
        <w:tc>
          <w:tcPr>
            <w:tcW w:w="1227"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44E1F052"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4</w:t>
            </w:r>
          </w:p>
        </w:tc>
        <w:tc>
          <w:tcPr>
            <w:tcW w:w="1231"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2ACD470B"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5</w:t>
            </w:r>
          </w:p>
        </w:tc>
      </w:tr>
      <w:tr w:rsidR="00B43210" w:rsidRPr="00B43210" w14:paraId="44EC247D" w14:textId="77777777" w:rsidTr="00043F03">
        <w:trPr>
          <w:cantSplit/>
          <w:trHeight w:val="429"/>
          <w:jc w:val="center"/>
        </w:trPr>
        <w:tc>
          <w:tcPr>
            <w:tcW w:w="1545" w:type="dxa"/>
            <w:tcBorders>
              <w:top w:val="nil"/>
              <w:left w:val="nil"/>
              <w:bottom w:val="nil"/>
              <w:right w:val="nil"/>
            </w:tcBorders>
            <w:vAlign w:val="center"/>
          </w:tcPr>
          <w:p w14:paraId="33B295A7"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p>
        </w:tc>
        <w:tc>
          <w:tcPr>
            <w:tcW w:w="1574" w:type="dxa"/>
            <w:tcBorders>
              <w:left w:val="nil"/>
              <w:bottom w:val="nil"/>
            </w:tcBorders>
            <w:vAlign w:val="center"/>
          </w:tcPr>
          <w:p w14:paraId="652403AE"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p>
        </w:tc>
        <w:tc>
          <w:tcPr>
            <w:tcW w:w="1226" w:type="dxa"/>
            <w:tcBorders>
              <w:top w:val="single" w:sz="4" w:space="0" w:color="505150"/>
              <w:bottom w:val="single" w:sz="4" w:space="0" w:color="auto"/>
            </w:tcBorders>
            <w:vAlign w:val="center"/>
          </w:tcPr>
          <w:p w14:paraId="31AE0626"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1 Rare</w:t>
            </w:r>
          </w:p>
          <w:p w14:paraId="7C2EB4C5"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(5%)</w:t>
            </w:r>
          </w:p>
        </w:tc>
        <w:tc>
          <w:tcPr>
            <w:tcW w:w="1230" w:type="dxa"/>
            <w:tcBorders>
              <w:top w:val="single" w:sz="4" w:space="0" w:color="505150"/>
              <w:bottom w:val="single" w:sz="4" w:space="0" w:color="auto"/>
            </w:tcBorders>
            <w:vAlign w:val="center"/>
          </w:tcPr>
          <w:p w14:paraId="26D9E905"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2 Unlikely</w:t>
            </w:r>
          </w:p>
          <w:p w14:paraId="10CD3D9C"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(15%)</w:t>
            </w:r>
          </w:p>
        </w:tc>
        <w:tc>
          <w:tcPr>
            <w:tcW w:w="1232" w:type="dxa"/>
            <w:tcBorders>
              <w:top w:val="single" w:sz="4" w:space="0" w:color="505150"/>
              <w:bottom w:val="single" w:sz="4" w:space="0" w:color="auto"/>
            </w:tcBorders>
            <w:vAlign w:val="center"/>
          </w:tcPr>
          <w:p w14:paraId="2CC14684"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3 Possible</w:t>
            </w:r>
          </w:p>
          <w:p w14:paraId="0DBAFC50"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(40%)</w:t>
            </w:r>
          </w:p>
        </w:tc>
        <w:tc>
          <w:tcPr>
            <w:tcW w:w="1227" w:type="dxa"/>
            <w:tcBorders>
              <w:top w:val="single" w:sz="4" w:space="0" w:color="505150"/>
              <w:bottom w:val="single" w:sz="4" w:space="0" w:color="auto"/>
            </w:tcBorders>
            <w:vAlign w:val="center"/>
          </w:tcPr>
          <w:p w14:paraId="596E520B"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4 Likely</w:t>
            </w:r>
          </w:p>
          <w:p w14:paraId="784E46AF"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(65%)</w:t>
            </w:r>
          </w:p>
        </w:tc>
        <w:tc>
          <w:tcPr>
            <w:tcW w:w="1231" w:type="dxa"/>
            <w:tcBorders>
              <w:top w:val="single" w:sz="4" w:space="0" w:color="505150"/>
              <w:bottom w:val="single" w:sz="4" w:space="0" w:color="auto"/>
            </w:tcBorders>
            <w:vAlign w:val="center"/>
          </w:tcPr>
          <w:p w14:paraId="6DFAADD8"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5 Almost certain (80%)</w:t>
            </w:r>
          </w:p>
        </w:tc>
      </w:tr>
      <w:tr w:rsidR="00B43210" w:rsidRPr="00B43210" w14:paraId="3D88E7EF" w14:textId="77777777" w:rsidTr="00043F03">
        <w:trPr>
          <w:cantSplit/>
          <w:trHeight w:val="429"/>
          <w:jc w:val="center"/>
        </w:trPr>
        <w:tc>
          <w:tcPr>
            <w:tcW w:w="1545" w:type="dxa"/>
            <w:tcBorders>
              <w:top w:val="nil"/>
              <w:left w:val="nil"/>
              <w:bottom w:val="nil"/>
              <w:right w:val="nil"/>
            </w:tcBorders>
            <w:vAlign w:val="center"/>
          </w:tcPr>
          <w:p w14:paraId="3240B457"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sz w:val="24"/>
                <w:szCs w:val="24"/>
              </w:rPr>
            </w:pPr>
          </w:p>
        </w:tc>
        <w:tc>
          <w:tcPr>
            <w:tcW w:w="1574" w:type="dxa"/>
            <w:tcBorders>
              <w:top w:val="nil"/>
              <w:left w:val="nil"/>
              <w:bottom w:val="nil"/>
              <w:right w:val="nil"/>
            </w:tcBorders>
            <w:vAlign w:val="center"/>
          </w:tcPr>
          <w:p w14:paraId="77533AC7"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sz w:val="24"/>
                <w:szCs w:val="24"/>
              </w:rPr>
            </w:pPr>
          </w:p>
        </w:tc>
        <w:tc>
          <w:tcPr>
            <w:tcW w:w="6146" w:type="dxa"/>
            <w:gridSpan w:val="5"/>
            <w:tcBorders>
              <w:top w:val="nil"/>
              <w:left w:val="nil"/>
              <w:bottom w:val="nil"/>
              <w:right w:val="nil"/>
            </w:tcBorders>
            <w:vAlign w:val="center"/>
          </w:tcPr>
          <w:p w14:paraId="4F02E7F1" w14:textId="77777777" w:rsidR="00B43210" w:rsidRPr="00B43210" w:rsidRDefault="00B43210" w:rsidP="00B43210">
            <w:pPr>
              <w:autoSpaceDE w:val="0"/>
              <w:autoSpaceDN w:val="0"/>
              <w:adjustRightInd w:val="0"/>
              <w:spacing w:after="0" w:line="240" w:lineRule="auto"/>
              <w:jc w:val="center"/>
              <w:rPr>
                <w:rFonts w:ascii="Arial" w:eastAsia="Calibri" w:hAnsi="Arial" w:cs="Arial"/>
                <w:b/>
                <w:color w:val="000000" w:themeColor="text1"/>
                <w:sz w:val="24"/>
                <w:szCs w:val="24"/>
              </w:rPr>
            </w:pPr>
            <w:r w:rsidRPr="00B43210">
              <w:rPr>
                <w:rFonts w:ascii="Arial" w:eastAsia="Calibri" w:hAnsi="Arial" w:cs="Arial"/>
                <w:b/>
                <w:color w:val="000000" w:themeColor="text1"/>
                <w:sz w:val="24"/>
                <w:szCs w:val="24"/>
              </w:rPr>
              <w:t>Likelihood and percentage of risk occurring</w:t>
            </w:r>
          </w:p>
        </w:tc>
      </w:tr>
    </w:tbl>
    <w:p w14:paraId="48369E6E" w14:textId="77777777" w:rsidR="00B43210" w:rsidRPr="00B43210" w:rsidRDefault="00B43210" w:rsidP="00B43210">
      <w:pPr>
        <w:autoSpaceDE w:val="0"/>
        <w:autoSpaceDN w:val="0"/>
        <w:adjustRightInd w:val="0"/>
        <w:spacing w:after="0" w:line="240" w:lineRule="auto"/>
        <w:ind w:left="567"/>
        <w:rPr>
          <w:rFonts w:ascii="Arial" w:eastAsia="Calibri" w:hAnsi="Arial" w:cs="Arial"/>
          <w:color w:val="000000" w:themeColor="text1"/>
          <w:sz w:val="24"/>
          <w:szCs w:val="24"/>
        </w:rPr>
      </w:pPr>
    </w:p>
    <w:p w14:paraId="7268BD4C"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lastRenderedPageBreak/>
        <w:t xml:space="preserve">When considering the risk rating, the Administering Authority will have regard to the existing controls in place and these will be summarised on the risk register.  </w:t>
      </w:r>
    </w:p>
    <w:p w14:paraId="3732F68F"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p>
    <w:p w14:paraId="39299FCB"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 xml:space="preserve">The criteria for impact and likelihood are detailed in </w:t>
      </w:r>
      <w:r w:rsidRPr="00B43210">
        <w:rPr>
          <w:rFonts w:ascii="Arial" w:eastAsia="Calibri" w:hAnsi="Arial" w:cs="Arial"/>
          <w:b/>
          <w:color w:val="000000" w:themeColor="text1"/>
          <w:sz w:val="24"/>
          <w:szCs w:val="24"/>
        </w:rPr>
        <w:t>Appendix 1.</w:t>
      </w:r>
    </w:p>
    <w:p w14:paraId="0CE41267" w14:textId="77777777" w:rsidR="00B43210" w:rsidRPr="00B43210" w:rsidRDefault="00B43210" w:rsidP="00B43210">
      <w:pPr>
        <w:autoSpaceDE w:val="0"/>
        <w:autoSpaceDN w:val="0"/>
        <w:adjustRightInd w:val="0"/>
        <w:spacing w:after="0" w:line="240" w:lineRule="auto"/>
        <w:ind w:hanging="709"/>
        <w:jc w:val="both"/>
        <w:rPr>
          <w:rFonts w:ascii="Arial" w:eastAsia="Calibri" w:hAnsi="Arial" w:cs="Arial"/>
          <w:sz w:val="24"/>
          <w:szCs w:val="24"/>
        </w:rPr>
      </w:pPr>
    </w:p>
    <w:p w14:paraId="24A2C339" w14:textId="77777777" w:rsidR="00B43210" w:rsidRPr="00B43210" w:rsidRDefault="00B43210" w:rsidP="00B43210">
      <w:pPr>
        <w:autoSpaceDE w:val="0"/>
        <w:autoSpaceDN w:val="0"/>
        <w:adjustRightInd w:val="0"/>
        <w:spacing w:after="0" w:line="240" w:lineRule="auto"/>
        <w:ind w:hanging="709"/>
        <w:jc w:val="both"/>
        <w:rPr>
          <w:rFonts w:ascii="Arial" w:eastAsia="Calibri" w:hAnsi="Arial" w:cs="Arial"/>
          <w:sz w:val="24"/>
          <w:szCs w:val="24"/>
        </w:rPr>
      </w:pPr>
      <w:r w:rsidRPr="00B43210">
        <w:rPr>
          <w:rFonts w:ascii="Arial" w:eastAsia="Calibri" w:hAnsi="Arial" w:cs="Arial"/>
          <w:sz w:val="24"/>
          <w:szCs w:val="24"/>
        </w:rPr>
        <w:t>10.4</w:t>
      </w:r>
      <w:r w:rsidRPr="00B43210">
        <w:rPr>
          <w:rFonts w:ascii="Arial" w:eastAsia="Calibri" w:hAnsi="Arial" w:cs="Arial"/>
          <w:sz w:val="24"/>
          <w:szCs w:val="24"/>
        </w:rPr>
        <w:tab/>
      </w:r>
      <w:r w:rsidRPr="00B43210">
        <w:rPr>
          <w:rFonts w:ascii="Arial" w:eastAsiaTheme="majorEastAsia" w:hAnsi="Arial" w:cs="Arial"/>
          <w:b/>
          <w:color w:val="244D7A"/>
          <w:sz w:val="24"/>
          <w:szCs w:val="26"/>
        </w:rPr>
        <w:t>Risk control</w:t>
      </w:r>
    </w:p>
    <w:p w14:paraId="13283854" w14:textId="77777777" w:rsidR="00B43210" w:rsidRPr="00B43210" w:rsidRDefault="00B43210" w:rsidP="00B43210">
      <w:pPr>
        <w:autoSpaceDE w:val="0"/>
        <w:autoSpaceDN w:val="0"/>
        <w:adjustRightInd w:val="0"/>
        <w:spacing w:after="0" w:line="240" w:lineRule="auto"/>
        <w:ind w:hanging="709"/>
        <w:jc w:val="both"/>
        <w:rPr>
          <w:rFonts w:ascii="Arial" w:eastAsia="Calibri" w:hAnsi="Arial" w:cs="Arial"/>
          <w:sz w:val="24"/>
          <w:szCs w:val="24"/>
        </w:rPr>
      </w:pPr>
    </w:p>
    <w:p w14:paraId="0905A119"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 xml:space="preserve">The Governance and Regulations Manager will review the extent to which the identified risks are covered by existing internal controls and determine whether any further action is required to control the risk, including reducing the likelihood of a risk event occurring or reducing the severity of the consequences should it occur.  Before any such action can be taken, Pension Fund Committee approval may be required where appropriate officer delegations are not in place.  The result of any change to the internal controls could result in any of the following: </w:t>
      </w:r>
    </w:p>
    <w:p w14:paraId="3801E07F"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p>
    <w:p w14:paraId="3B0E4C9E"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Risk elimination – for example, ceasing an activity or course of action that would give rise to the risk.</w:t>
      </w:r>
    </w:p>
    <w:p w14:paraId="2E9E1321"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Risk reduction – for example, choosing a course of action that has a lower probability of risk or putting in place procedures to manage risk when it arises.</w:t>
      </w:r>
    </w:p>
    <w:p w14:paraId="0150A8A4"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Risk transfer – for example, transferring the risk to another party either by insurance or through a contractual arrangement.</w:t>
      </w:r>
    </w:p>
    <w:p w14:paraId="0E625247" w14:textId="77777777" w:rsidR="00B43210" w:rsidRPr="00B43210" w:rsidRDefault="00B43210" w:rsidP="00B43210">
      <w:pPr>
        <w:autoSpaceDE w:val="0"/>
        <w:autoSpaceDN w:val="0"/>
        <w:adjustRightInd w:val="0"/>
        <w:spacing w:after="0" w:line="240" w:lineRule="auto"/>
        <w:ind w:left="568"/>
        <w:rPr>
          <w:rFonts w:ascii="Arial" w:eastAsia="Calibri" w:hAnsi="Arial" w:cs="Arial"/>
          <w:color w:val="000000" w:themeColor="text1"/>
          <w:sz w:val="24"/>
          <w:szCs w:val="24"/>
        </w:rPr>
      </w:pPr>
    </w:p>
    <w:p w14:paraId="6CFB3832"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 xml:space="preserve">The Fund’s risk register details further actions in relation to a risk, the responsible lead for that action and relevant Fund objective. Mitigations are categorised as either proposed, in progress or implemented to draw attention and focus to actions to be undertaken. </w:t>
      </w:r>
    </w:p>
    <w:p w14:paraId="7CA7C9AA"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p>
    <w:p w14:paraId="4BF06BC7"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In addition, the executive summary provides an overview detailing any changes between risk assessments and provides a target score to indicate whether the Fund is content or aiming to achieve a more desirable score by implementing additional mitigations. The comments section supports the rationale behind target scores and/or any changes to scores during the review period. Where necessary the Administering Authority will update the Fund’s business plan in relation to any agreed action as a result of an identified risk.</w:t>
      </w:r>
    </w:p>
    <w:p w14:paraId="61639638" w14:textId="77777777" w:rsidR="00B43210" w:rsidRPr="00B43210" w:rsidRDefault="00B43210" w:rsidP="00B43210">
      <w:pPr>
        <w:autoSpaceDE w:val="0"/>
        <w:autoSpaceDN w:val="0"/>
        <w:adjustRightInd w:val="0"/>
        <w:spacing w:after="0" w:line="240" w:lineRule="auto"/>
        <w:rPr>
          <w:rFonts w:ascii="Arial" w:eastAsia="Calibri" w:hAnsi="Arial" w:cs="Arial"/>
          <w:i/>
          <w:color w:val="000000" w:themeColor="text1"/>
          <w:sz w:val="24"/>
          <w:szCs w:val="24"/>
        </w:rPr>
      </w:pPr>
    </w:p>
    <w:p w14:paraId="4486D5E2" w14:textId="77777777" w:rsidR="00B43210" w:rsidRPr="00B43210" w:rsidRDefault="00B43210" w:rsidP="00B43210">
      <w:pPr>
        <w:autoSpaceDE w:val="0"/>
        <w:autoSpaceDN w:val="0"/>
        <w:adjustRightInd w:val="0"/>
        <w:spacing w:after="0" w:line="240" w:lineRule="auto"/>
        <w:ind w:hanging="709"/>
        <w:jc w:val="both"/>
        <w:rPr>
          <w:rFonts w:ascii="Arial" w:eastAsia="Calibri" w:hAnsi="Arial" w:cs="Arial"/>
          <w:sz w:val="24"/>
          <w:szCs w:val="24"/>
        </w:rPr>
      </w:pPr>
      <w:r w:rsidRPr="00B43210">
        <w:rPr>
          <w:rFonts w:ascii="Arial" w:eastAsia="Calibri" w:hAnsi="Arial" w:cs="Arial"/>
          <w:sz w:val="24"/>
          <w:szCs w:val="24"/>
        </w:rPr>
        <w:t>10.5</w:t>
      </w:r>
      <w:r w:rsidRPr="00B43210">
        <w:rPr>
          <w:rFonts w:ascii="Arial" w:eastAsia="Calibri" w:hAnsi="Arial" w:cs="Arial"/>
          <w:sz w:val="24"/>
          <w:szCs w:val="24"/>
        </w:rPr>
        <w:tab/>
      </w:r>
      <w:r w:rsidRPr="00B43210">
        <w:rPr>
          <w:rFonts w:ascii="Arial" w:eastAsiaTheme="majorEastAsia" w:hAnsi="Arial" w:cs="Arial"/>
          <w:b/>
          <w:color w:val="244D7A"/>
          <w:sz w:val="24"/>
          <w:szCs w:val="26"/>
        </w:rPr>
        <w:t>Risk monitoring</w:t>
      </w:r>
    </w:p>
    <w:p w14:paraId="03C81C64" w14:textId="77777777" w:rsidR="00B43210" w:rsidRPr="00B43210" w:rsidRDefault="00B43210" w:rsidP="00B43210">
      <w:pPr>
        <w:autoSpaceDE w:val="0"/>
        <w:autoSpaceDN w:val="0"/>
        <w:adjustRightInd w:val="0"/>
        <w:spacing w:after="0" w:line="240" w:lineRule="auto"/>
        <w:ind w:left="567" w:hanging="567"/>
        <w:jc w:val="both"/>
        <w:rPr>
          <w:rFonts w:ascii="Arial" w:eastAsia="Calibri" w:hAnsi="Arial" w:cs="Arial"/>
          <w:sz w:val="24"/>
          <w:szCs w:val="24"/>
        </w:rPr>
      </w:pPr>
    </w:p>
    <w:p w14:paraId="2EF5E146"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 xml:space="preserve">Risk monitoring is the final part of the risk management cycle and will be the responsibility of the </w:t>
      </w:r>
      <w:r w:rsidRPr="00B43210">
        <w:rPr>
          <w:rFonts w:ascii="Arial" w:eastAsia="Calibri" w:hAnsi="Arial" w:cs="Arial"/>
          <w:iCs/>
          <w:color w:val="000000" w:themeColor="text1"/>
          <w:sz w:val="24"/>
          <w:szCs w:val="24"/>
        </w:rPr>
        <w:t>Pension Fund Committee</w:t>
      </w:r>
      <w:r w:rsidRPr="00B43210">
        <w:rPr>
          <w:rFonts w:ascii="Arial" w:eastAsia="Calibri" w:hAnsi="Arial" w:cs="Arial"/>
          <w:color w:val="000000" w:themeColor="text1"/>
          <w:sz w:val="24"/>
          <w:szCs w:val="24"/>
        </w:rPr>
        <w:t>. In monitoring risk management activity, the Committee will consider whether:</w:t>
      </w:r>
    </w:p>
    <w:p w14:paraId="29D01612"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highlight w:val="yellow"/>
        </w:rPr>
      </w:pPr>
    </w:p>
    <w:p w14:paraId="2EEB69A3"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rPr>
          <w:rFonts w:ascii="Arial" w:eastAsia="Calibri" w:hAnsi="Arial" w:cs="Arial"/>
          <w:color w:val="000000" w:themeColor="text1"/>
          <w:sz w:val="24"/>
          <w:szCs w:val="24"/>
        </w:rPr>
      </w:pPr>
      <w:bookmarkStart w:id="24" w:name="_Hlk118469059"/>
      <w:r w:rsidRPr="00B43210">
        <w:rPr>
          <w:rFonts w:ascii="Arial" w:eastAsia="Calibri" w:hAnsi="Arial" w:cs="Arial"/>
          <w:color w:val="000000" w:themeColor="text1"/>
          <w:sz w:val="24"/>
          <w:szCs w:val="24"/>
        </w:rPr>
        <w:t>the risk controls taken achieved the desired outcomes</w:t>
      </w:r>
    </w:p>
    <w:p w14:paraId="1840556E"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the procedures adopted and information gathered for undertaking the risk assessment were appropriate</w:t>
      </w:r>
    </w:p>
    <w:p w14:paraId="771A0DD0"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greater knowledge of the risk and potential outcomes would have improved the decision-making process in relation to that risk</w:t>
      </w:r>
    </w:p>
    <w:p w14:paraId="3D90CEE3"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there are any lessons to be learned for the future assessment and management of risks.</w:t>
      </w:r>
    </w:p>
    <w:p w14:paraId="775DAAB6" w14:textId="77777777" w:rsidR="00B43210" w:rsidRPr="00B43210" w:rsidRDefault="00B43210" w:rsidP="00B43210">
      <w:pPr>
        <w:keepNext/>
        <w:keepLines/>
        <w:numPr>
          <w:ilvl w:val="0"/>
          <w:numId w:val="8"/>
        </w:numPr>
        <w:tabs>
          <w:tab w:val="center" w:pos="4513"/>
          <w:tab w:val="right" w:pos="9026"/>
        </w:tabs>
        <w:spacing w:after="0" w:line="240" w:lineRule="auto"/>
        <w:ind w:left="0" w:hanging="720"/>
        <w:outlineLvl w:val="0"/>
        <w:rPr>
          <w:rFonts w:ascii="Arial" w:eastAsiaTheme="majorEastAsia" w:hAnsi="Arial" w:cs="Arial"/>
          <w:b/>
          <w:color w:val="61207F"/>
          <w:sz w:val="24"/>
          <w:szCs w:val="24"/>
        </w:rPr>
      </w:pPr>
      <w:bookmarkStart w:id="25" w:name="_Toc112322178"/>
      <w:bookmarkEnd w:id="24"/>
      <w:r w:rsidRPr="00B43210">
        <w:rPr>
          <w:rFonts w:ascii="Arial" w:eastAsiaTheme="majorEastAsia" w:hAnsi="Arial" w:cs="Arial"/>
          <w:b/>
          <w:color w:val="61207F"/>
          <w:sz w:val="24"/>
          <w:szCs w:val="24"/>
        </w:rPr>
        <w:lastRenderedPageBreak/>
        <w:t>Reporting and monitoring</w:t>
      </w:r>
      <w:bookmarkEnd w:id="25"/>
      <w:r w:rsidRPr="00B43210">
        <w:rPr>
          <w:rFonts w:ascii="Arial" w:eastAsiaTheme="majorEastAsia" w:hAnsi="Arial" w:cs="Arial"/>
          <w:b/>
          <w:color w:val="61207F"/>
          <w:sz w:val="24"/>
          <w:szCs w:val="24"/>
        </w:rPr>
        <w:t xml:space="preserve"> </w:t>
      </w:r>
    </w:p>
    <w:p w14:paraId="5F6AF68F" w14:textId="77777777" w:rsidR="00B43210" w:rsidRPr="00B43210" w:rsidRDefault="00B43210" w:rsidP="00B43210">
      <w:pPr>
        <w:spacing w:after="0" w:line="240" w:lineRule="auto"/>
        <w:ind w:hanging="709"/>
        <w:rPr>
          <w:rFonts w:ascii="Arial" w:eastAsia="Calibri" w:hAnsi="Arial" w:cs="Arial"/>
          <w:color w:val="009DDD"/>
          <w:sz w:val="24"/>
          <w:szCs w:val="24"/>
        </w:rPr>
      </w:pPr>
    </w:p>
    <w:p w14:paraId="2581C243" w14:textId="77777777" w:rsidR="00B43210" w:rsidRPr="00B43210" w:rsidRDefault="00B43210" w:rsidP="00B43210">
      <w:pPr>
        <w:autoSpaceDE w:val="0"/>
        <w:autoSpaceDN w:val="0"/>
        <w:adjustRightInd w:val="0"/>
        <w:spacing w:after="0" w:line="240" w:lineRule="auto"/>
        <w:ind w:left="1065" w:hanging="1065"/>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 xml:space="preserve">Progress in managing risks will be monitored and recorded on the risk register.  </w:t>
      </w:r>
    </w:p>
    <w:p w14:paraId="7E0656E8" w14:textId="77777777" w:rsidR="00B43210" w:rsidRPr="00B43210" w:rsidRDefault="00B43210" w:rsidP="00B43210">
      <w:pPr>
        <w:autoSpaceDE w:val="0"/>
        <w:autoSpaceDN w:val="0"/>
        <w:adjustRightInd w:val="0"/>
        <w:spacing w:after="0" w:line="240" w:lineRule="auto"/>
        <w:ind w:left="1065"/>
        <w:contextualSpacing/>
        <w:rPr>
          <w:rFonts w:ascii="Arial" w:eastAsia="Calibri" w:hAnsi="Arial" w:cs="Arial"/>
          <w:color w:val="000000" w:themeColor="text1"/>
          <w:sz w:val="24"/>
          <w:szCs w:val="24"/>
        </w:rPr>
      </w:pPr>
    </w:p>
    <w:p w14:paraId="544108ED" w14:textId="77777777" w:rsidR="00B43210" w:rsidRPr="00B43210" w:rsidRDefault="00B43210" w:rsidP="00B43210">
      <w:pPr>
        <w:autoSpaceDE w:val="0"/>
        <w:autoSpaceDN w:val="0"/>
        <w:adjustRightInd w:val="0"/>
        <w:spacing w:after="0" w:line="240" w:lineRule="auto"/>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 xml:space="preserve">The risk register, including any changes to the internal controls, will be provided on a quarterly basis to the Pension Fund Board and a biannual basis to the Pension Fund Committee. Pre scrutiny on the proposed changes is undertaken by the Board with final approval by the Pension Fund Committee. </w:t>
      </w:r>
    </w:p>
    <w:p w14:paraId="5E0055AC" w14:textId="77777777" w:rsidR="00B43210" w:rsidRPr="00B43210" w:rsidRDefault="00B43210" w:rsidP="00B43210">
      <w:pPr>
        <w:autoSpaceDE w:val="0"/>
        <w:autoSpaceDN w:val="0"/>
        <w:adjustRightInd w:val="0"/>
        <w:spacing w:after="0" w:line="240" w:lineRule="auto"/>
        <w:ind w:hanging="709"/>
        <w:rPr>
          <w:rFonts w:ascii="Arial" w:eastAsia="Calibri" w:hAnsi="Arial" w:cs="Arial"/>
          <w:color w:val="000000" w:themeColor="text1"/>
          <w:sz w:val="24"/>
          <w:szCs w:val="24"/>
        </w:rPr>
      </w:pPr>
    </w:p>
    <w:p w14:paraId="4DE37EB3"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For scenarios where a risk has changed by a score of 3 or more or a new major risk with a score of 15 or more is identified the Pension Fund Committee will be notified ahead of the next schedule meeting.</w:t>
      </w:r>
    </w:p>
    <w:p w14:paraId="2B80835A"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p>
    <w:p w14:paraId="7C3BE3DE"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 xml:space="preserve">In order to identify whether the objectives of this policy are being met, the Administering Authority will review the delivery of the requirements of this Strategy on an annual basis taking into consideration any feedback from the Pension Fund Board. </w:t>
      </w:r>
    </w:p>
    <w:p w14:paraId="20A1A320"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p>
    <w:p w14:paraId="73FBD69E" w14:textId="77777777" w:rsidR="00B43210" w:rsidRPr="00B43210" w:rsidRDefault="00B43210" w:rsidP="00B43210">
      <w:pPr>
        <w:keepNext/>
        <w:keepLines/>
        <w:numPr>
          <w:ilvl w:val="0"/>
          <w:numId w:val="8"/>
        </w:numPr>
        <w:tabs>
          <w:tab w:val="center" w:pos="4513"/>
          <w:tab w:val="right" w:pos="9026"/>
        </w:tabs>
        <w:spacing w:after="0" w:line="240" w:lineRule="auto"/>
        <w:ind w:left="0" w:hanging="709"/>
        <w:outlineLvl w:val="0"/>
        <w:rPr>
          <w:rFonts w:ascii="Arial" w:eastAsiaTheme="majorEastAsia" w:hAnsi="Arial" w:cs="Arial"/>
          <w:b/>
          <w:color w:val="61207F"/>
          <w:sz w:val="24"/>
          <w:szCs w:val="24"/>
        </w:rPr>
      </w:pPr>
      <w:bookmarkStart w:id="26" w:name="_Toc112322179"/>
      <w:r w:rsidRPr="00B43210">
        <w:rPr>
          <w:rFonts w:ascii="Arial" w:eastAsiaTheme="majorEastAsia" w:hAnsi="Arial" w:cs="Arial"/>
          <w:b/>
          <w:color w:val="61207F"/>
          <w:sz w:val="24"/>
          <w:szCs w:val="24"/>
        </w:rPr>
        <w:t>Key risks to the effective delivery</w:t>
      </w:r>
      <w:bookmarkEnd w:id="26"/>
      <w:r w:rsidRPr="00B43210">
        <w:rPr>
          <w:rFonts w:ascii="Arial" w:eastAsiaTheme="majorEastAsia" w:hAnsi="Arial" w:cs="Arial"/>
          <w:b/>
          <w:color w:val="61207F"/>
          <w:sz w:val="24"/>
          <w:szCs w:val="24"/>
        </w:rPr>
        <w:t xml:space="preserve"> </w:t>
      </w:r>
    </w:p>
    <w:p w14:paraId="1F655CFE" w14:textId="77777777" w:rsidR="00B43210" w:rsidRPr="00B43210" w:rsidRDefault="00B43210" w:rsidP="00B43210">
      <w:pPr>
        <w:spacing w:after="0" w:line="240" w:lineRule="auto"/>
        <w:ind w:hanging="709"/>
        <w:rPr>
          <w:rFonts w:ascii="Arial" w:eastAsia="Calibri" w:hAnsi="Arial" w:cs="Arial"/>
          <w:color w:val="009DDD"/>
          <w:sz w:val="24"/>
          <w:szCs w:val="24"/>
        </w:rPr>
      </w:pPr>
    </w:p>
    <w:p w14:paraId="0EAD3DD7" w14:textId="77777777" w:rsidR="00B43210" w:rsidRPr="00B43210" w:rsidRDefault="00B43210" w:rsidP="00B43210">
      <w:pPr>
        <w:autoSpaceDE w:val="0"/>
        <w:autoSpaceDN w:val="0"/>
        <w:adjustRightInd w:val="0"/>
        <w:spacing w:after="0" w:line="240" w:lineRule="auto"/>
        <w:ind w:hanging="709"/>
        <w:rPr>
          <w:rFonts w:ascii="Arial" w:eastAsia="Calibri" w:hAnsi="Arial" w:cs="Arial"/>
          <w:iCs/>
          <w:color w:val="000000" w:themeColor="text1"/>
          <w:sz w:val="24"/>
          <w:szCs w:val="24"/>
        </w:rPr>
      </w:pPr>
      <w:r w:rsidRPr="00B43210">
        <w:rPr>
          <w:rFonts w:ascii="Arial" w:eastAsia="Calibri" w:hAnsi="Arial" w:cs="Arial"/>
          <w:sz w:val="24"/>
          <w:szCs w:val="24"/>
        </w:rPr>
        <w:t>12.1</w:t>
      </w:r>
      <w:r w:rsidRPr="00B43210">
        <w:rPr>
          <w:rFonts w:ascii="Arial" w:eastAsia="Calibri" w:hAnsi="Arial" w:cs="Arial"/>
          <w:color w:val="009DDD"/>
          <w:sz w:val="24"/>
          <w:szCs w:val="24"/>
        </w:rPr>
        <w:tab/>
      </w:r>
      <w:r w:rsidRPr="00B43210">
        <w:rPr>
          <w:rFonts w:ascii="Arial" w:eastAsia="Calibri" w:hAnsi="Arial" w:cs="Arial"/>
          <w:iCs/>
          <w:color w:val="000000" w:themeColor="text1"/>
          <w:sz w:val="24"/>
          <w:szCs w:val="24"/>
        </w:rPr>
        <w:t xml:space="preserve">The key risks to the delivery of this Strategy are outlined below.  </w:t>
      </w:r>
      <w:bookmarkStart w:id="27" w:name="_Hlk118472639"/>
      <w:r w:rsidRPr="00B43210">
        <w:rPr>
          <w:rFonts w:ascii="Arial" w:eastAsia="Calibri" w:hAnsi="Arial" w:cs="Arial"/>
          <w:iCs/>
          <w:color w:val="000000" w:themeColor="text1"/>
          <w:sz w:val="24"/>
          <w:szCs w:val="24"/>
        </w:rPr>
        <w:t>The Pension Fund Committee will monitor these and other key risks and consider how to respond to them following updates and recommendations from officers.</w:t>
      </w:r>
    </w:p>
    <w:bookmarkEnd w:id="27"/>
    <w:p w14:paraId="272A121C" w14:textId="77777777" w:rsidR="00B43210" w:rsidRPr="00B43210" w:rsidRDefault="00B43210" w:rsidP="00B43210">
      <w:pPr>
        <w:autoSpaceDE w:val="0"/>
        <w:autoSpaceDN w:val="0"/>
        <w:adjustRightInd w:val="0"/>
        <w:spacing w:after="0" w:line="240" w:lineRule="auto"/>
        <w:ind w:hanging="709"/>
        <w:rPr>
          <w:rFonts w:ascii="Arial" w:eastAsia="Calibri" w:hAnsi="Arial" w:cs="Arial"/>
          <w:iCs/>
          <w:color w:val="000000" w:themeColor="text1"/>
          <w:sz w:val="24"/>
          <w:szCs w:val="24"/>
        </w:rPr>
      </w:pPr>
    </w:p>
    <w:p w14:paraId="14058E12"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bookmarkStart w:id="28" w:name="_Hlk118472623"/>
      <w:r w:rsidRPr="00B43210">
        <w:rPr>
          <w:rFonts w:ascii="Arial" w:eastAsia="Calibri" w:hAnsi="Arial" w:cs="Arial"/>
          <w:color w:val="000000" w:themeColor="text1"/>
          <w:sz w:val="24"/>
          <w:szCs w:val="24"/>
        </w:rPr>
        <w:t>Risk management becomes mechanistic, is not embodied into the day to day management of the Fund and consequently the objectives of the Policy are not delivered</w:t>
      </w:r>
    </w:p>
    <w:p w14:paraId="34281079"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Changes in Pension Fund Committee and/or Pension Fund Board membership and/or senior officers mean key risks are not identified due to lack of knowledge</w:t>
      </w:r>
    </w:p>
    <w:p w14:paraId="000CB3D3"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 xml:space="preserve">Insufficient resources are available to satisfactorily assess or take appropriate action in relation to identified risks </w:t>
      </w:r>
    </w:p>
    <w:p w14:paraId="025B4C2B"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Risks are incorrectly assessed due to a lack of knowledge or understanding, leading to inappropriate levels of risk being taken without proper controls</w:t>
      </w:r>
    </w:p>
    <w:p w14:paraId="0385CF0A"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Lack of engagement or awareness of external factors means key risks are not identified</w:t>
      </w:r>
    </w:p>
    <w:p w14:paraId="3F64635B"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Conflicts of interest or other factors lead to a failure to identify or assess risks appropriately</w:t>
      </w:r>
    </w:p>
    <w:bookmarkEnd w:id="28"/>
    <w:p w14:paraId="09446E9A" w14:textId="77777777" w:rsidR="00B43210" w:rsidRPr="00B43210" w:rsidRDefault="00B43210" w:rsidP="00B43210">
      <w:pPr>
        <w:widowControl w:val="0"/>
        <w:autoSpaceDE w:val="0"/>
        <w:autoSpaceDN w:val="0"/>
        <w:adjustRightInd w:val="0"/>
        <w:spacing w:after="0" w:line="240" w:lineRule="auto"/>
        <w:ind w:left="568" w:right="25"/>
        <w:jc w:val="both"/>
        <w:textAlignment w:val="baseline"/>
        <w:rPr>
          <w:rFonts w:ascii="Arial" w:eastAsia="Times New Roman" w:hAnsi="Arial" w:cs="Arial"/>
          <w:color w:val="000000" w:themeColor="text1"/>
          <w:sz w:val="24"/>
          <w:szCs w:val="24"/>
          <w:lang w:eastAsia="en-GB"/>
        </w:rPr>
      </w:pPr>
    </w:p>
    <w:p w14:paraId="2153B15C" w14:textId="77777777" w:rsidR="00B43210" w:rsidRPr="00B43210" w:rsidRDefault="00B43210" w:rsidP="00B43210">
      <w:pPr>
        <w:keepNext/>
        <w:keepLines/>
        <w:numPr>
          <w:ilvl w:val="0"/>
          <w:numId w:val="8"/>
        </w:numPr>
        <w:tabs>
          <w:tab w:val="right" w:pos="9026"/>
        </w:tabs>
        <w:spacing w:after="0" w:line="240" w:lineRule="auto"/>
        <w:ind w:left="0" w:hanging="709"/>
        <w:outlineLvl w:val="0"/>
        <w:rPr>
          <w:rFonts w:ascii="Arial" w:eastAsiaTheme="majorEastAsia" w:hAnsi="Arial" w:cs="Arial"/>
          <w:b/>
          <w:color w:val="61207F"/>
          <w:sz w:val="24"/>
          <w:szCs w:val="24"/>
        </w:rPr>
      </w:pPr>
      <w:bookmarkStart w:id="29" w:name="_Toc112316701"/>
      <w:bookmarkStart w:id="30" w:name="_Toc112322180"/>
      <w:r w:rsidRPr="00B43210">
        <w:rPr>
          <w:rFonts w:ascii="Arial" w:eastAsiaTheme="majorEastAsia" w:hAnsi="Arial" w:cs="Arial"/>
          <w:b/>
          <w:color w:val="61207F"/>
          <w:sz w:val="24"/>
          <w:szCs w:val="24"/>
        </w:rPr>
        <w:t>Costs</w:t>
      </w:r>
      <w:bookmarkEnd w:id="29"/>
      <w:bookmarkEnd w:id="30"/>
    </w:p>
    <w:p w14:paraId="22C7DEBB" w14:textId="77777777" w:rsidR="00B43210" w:rsidRPr="00B43210" w:rsidRDefault="00B43210" w:rsidP="00B43210">
      <w:pPr>
        <w:spacing w:after="0" w:line="240" w:lineRule="auto"/>
        <w:ind w:hanging="709"/>
        <w:rPr>
          <w:rFonts w:ascii="Arial" w:eastAsia="Calibri" w:hAnsi="Arial" w:cs="Arial"/>
          <w:sz w:val="24"/>
          <w:szCs w:val="24"/>
        </w:rPr>
      </w:pPr>
    </w:p>
    <w:p w14:paraId="68B86A46" w14:textId="77777777" w:rsidR="00B43210" w:rsidRPr="00B43210" w:rsidRDefault="00B43210" w:rsidP="00B43210">
      <w:pPr>
        <w:autoSpaceDE w:val="0"/>
        <w:autoSpaceDN w:val="0"/>
        <w:adjustRightInd w:val="0"/>
        <w:spacing w:after="0" w:line="240" w:lineRule="auto"/>
        <w:ind w:hanging="709"/>
        <w:rPr>
          <w:rFonts w:ascii="Arial" w:eastAsia="Calibri" w:hAnsi="Arial" w:cs="Arial"/>
          <w:sz w:val="24"/>
          <w:szCs w:val="24"/>
        </w:rPr>
      </w:pPr>
      <w:r w:rsidRPr="00B43210">
        <w:rPr>
          <w:rFonts w:ascii="Arial" w:eastAsia="Calibri" w:hAnsi="Arial" w:cs="Arial"/>
          <w:sz w:val="24"/>
          <w:szCs w:val="24"/>
        </w:rPr>
        <w:t>13.1</w:t>
      </w:r>
      <w:r w:rsidRPr="00B43210">
        <w:rPr>
          <w:rFonts w:ascii="Arial" w:eastAsia="Calibri" w:hAnsi="Arial" w:cs="Arial"/>
          <w:sz w:val="24"/>
          <w:szCs w:val="24"/>
        </w:rPr>
        <w:tab/>
        <w:t xml:space="preserve">All costs related to this Risk Strategy are met directly by the Fund.  </w:t>
      </w:r>
    </w:p>
    <w:p w14:paraId="05D1DE11" w14:textId="77777777" w:rsidR="00B43210" w:rsidRPr="00B43210" w:rsidRDefault="00B43210" w:rsidP="00B43210">
      <w:pPr>
        <w:autoSpaceDE w:val="0"/>
        <w:autoSpaceDN w:val="0"/>
        <w:adjustRightInd w:val="0"/>
        <w:spacing w:after="0" w:line="240" w:lineRule="auto"/>
        <w:ind w:hanging="709"/>
        <w:rPr>
          <w:rFonts w:ascii="Arial" w:eastAsia="Calibri" w:hAnsi="Arial" w:cs="Arial"/>
          <w:sz w:val="24"/>
          <w:szCs w:val="24"/>
        </w:rPr>
      </w:pPr>
    </w:p>
    <w:p w14:paraId="5F40F576" w14:textId="77777777" w:rsidR="00B43210" w:rsidRPr="00B43210" w:rsidRDefault="00B43210" w:rsidP="00B43210">
      <w:pPr>
        <w:autoSpaceDE w:val="0"/>
        <w:autoSpaceDN w:val="0"/>
        <w:adjustRightInd w:val="0"/>
        <w:spacing w:after="0" w:line="240" w:lineRule="auto"/>
        <w:ind w:hanging="709"/>
        <w:rPr>
          <w:rFonts w:ascii="Arial" w:eastAsia="Calibri" w:hAnsi="Arial" w:cs="Arial"/>
          <w:sz w:val="24"/>
          <w:szCs w:val="24"/>
        </w:rPr>
      </w:pPr>
    </w:p>
    <w:p w14:paraId="5A158E0D" w14:textId="77777777" w:rsidR="00B43210" w:rsidRPr="00B43210" w:rsidRDefault="00B43210" w:rsidP="00B43210">
      <w:pPr>
        <w:autoSpaceDE w:val="0"/>
        <w:autoSpaceDN w:val="0"/>
        <w:adjustRightInd w:val="0"/>
        <w:spacing w:after="0" w:line="240" w:lineRule="auto"/>
        <w:ind w:hanging="709"/>
        <w:rPr>
          <w:rFonts w:ascii="Arial" w:eastAsia="Calibri" w:hAnsi="Arial" w:cs="Arial"/>
          <w:sz w:val="24"/>
          <w:szCs w:val="24"/>
        </w:rPr>
      </w:pPr>
    </w:p>
    <w:p w14:paraId="07F76EEE" w14:textId="77777777" w:rsidR="00B43210" w:rsidRPr="00B43210" w:rsidRDefault="00B43210" w:rsidP="00B43210">
      <w:pPr>
        <w:autoSpaceDE w:val="0"/>
        <w:autoSpaceDN w:val="0"/>
        <w:adjustRightInd w:val="0"/>
        <w:spacing w:after="0" w:line="240" w:lineRule="auto"/>
        <w:ind w:hanging="709"/>
        <w:rPr>
          <w:rFonts w:ascii="Arial" w:eastAsia="Calibri" w:hAnsi="Arial" w:cs="Arial"/>
          <w:sz w:val="24"/>
          <w:szCs w:val="24"/>
        </w:rPr>
      </w:pPr>
    </w:p>
    <w:p w14:paraId="3A674AA5" w14:textId="77777777" w:rsidR="00B43210" w:rsidRPr="00B43210" w:rsidRDefault="00B43210" w:rsidP="00B43210">
      <w:pPr>
        <w:autoSpaceDE w:val="0"/>
        <w:autoSpaceDN w:val="0"/>
        <w:adjustRightInd w:val="0"/>
        <w:spacing w:after="0" w:line="240" w:lineRule="auto"/>
        <w:ind w:hanging="709"/>
        <w:rPr>
          <w:rFonts w:ascii="Arial" w:eastAsia="Calibri" w:hAnsi="Arial" w:cs="Arial"/>
          <w:sz w:val="24"/>
          <w:szCs w:val="24"/>
        </w:rPr>
      </w:pPr>
    </w:p>
    <w:p w14:paraId="27A77FE6" w14:textId="77777777" w:rsidR="00B43210" w:rsidRPr="00B43210" w:rsidRDefault="00B43210" w:rsidP="00B43210">
      <w:pPr>
        <w:autoSpaceDE w:val="0"/>
        <w:autoSpaceDN w:val="0"/>
        <w:adjustRightInd w:val="0"/>
        <w:spacing w:after="0" w:line="240" w:lineRule="auto"/>
        <w:ind w:hanging="709"/>
        <w:rPr>
          <w:rFonts w:ascii="Arial" w:eastAsia="Calibri" w:hAnsi="Arial" w:cs="Arial"/>
          <w:sz w:val="24"/>
          <w:szCs w:val="24"/>
        </w:rPr>
      </w:pPr>
    </w:p>
    <w:p w14:paraId="5FE259DE" w14:textId="77777777" w:rsidR="00B43210" w:rsidRPr="00B43210" w:rsidRDefault="00B43210" w:rsidP="00B43210">
      <w:pPr>
        <w:keepNext/>
        <w:keepLines/>
        <w:numPr>
          <w:ilvl w:val="0"/>
          <w:numId w:val="8"/>
        </w:numPr>
        <w:tabs>
          <w:tab w:val="right" w:pos="9026"/>
        </w:tabs>
        <w:spacing w:after="0" w:line="240" w:lineRule="auto"/>
        <w:ind w:left="0" w:hanging="709"/>
        <w:outlineLvl w:val="0"/>
        <w:rPr>
          <w:rFonts w:ascii="Arial" w:eastAsiaTheme="majorEastAsia" w:hAnsi="Arial" w:cs="Arial"/>
          <w:b/>
          <w:color w:val="61207F"/>
          <w:sz w:val="24"/>
          <w:szCs w:val="24"/>
        </w:rPr>
      </w:pPr>
      <w:bookmarkStart w:id="31" w:name="_Toc112322181"/>
      <w:r w:rsidRPr="00B43210">
        <w:rPr>
          <w:rFonts w:ascii="Arial" w:eastAsiaTheme="majorEastAsia" w:hAnsi="Arial" w:cs="Arial"/>
          <w:b/>
          <w:color w:val="61207F"/>
          <w:sz w:val="24"/>
          <w:szCs w:val="24"/>
        </w:rPr>
        <w:lastRenderedPageBreak/>
        <w:t>Further information</w:t>
      </w:r>
      <w:bookmarkEnd w:id="31"/>
      <w:r w:rsidRPr="00B43210">
        <w:rPr>
          <w:rFonts w:ascii="Arial" w:eastAsiaTheme="majorEastAsia" w:hAnsi="Arial" w:cs="Arial"/>
          <w:b/>
          <w:color w:val="61207F"/>
          <w:sz w:val="24"/>
          <w:szCs w:val="24"/>
        </w:rPr>
        <w:t xml:space="preserve"> </w:t>
      </w:r>
    </w:p>
    <w:p w14:paraId="099E8626" w14:textId="77777777" w:rsidR="00B43210" w:rsidRPr="00B43210" w:rsidRDefault="00B43210" w:rsidP="00B43210">
      <w:pPr>
        <w:spacing w:after="0" w:line="240" w:lineRule="auto"/>
        <w:ind w:hanging="709"/>
        <w:rPr>
          <w:rFonts w:ascii="Arial" w:eastAsia="Calibri" w:hAnsi="Arial" w:cs="Arial"/>
          <w:color w:val="009DDD"/>
          <w:sz w:val="24"/>
          <w:szCs w:val="24"/>
        </w:rPr>
      </w:pPr>
    </w:p>
    <w:p w14:paraId="218D13E2" w14:textId="77777777" w:rsidR="00B43210" w:rsidRPr="00B43210" w:rsidRDefault="00B43210" w:rsidP="00B43210">
      <w:pPr>
        <w:spacing w:after="0" w:line="240" w:lineRule="auto"/>
        <w:ind w:hanging="709"/>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14.1</w:t>
      </w:r>
      <w:r w:rsidRPr="00B43210">
        <w:rPr>
          <w:rFonts w:ascii="Arial" w:eastAsia="Calibri" w:hAnsi="Arial" w:cs="Arial"/>
          <w:color w:val="000000" w:themeColor="text1"/>
          <w:sz w:val="24"/>
          <w:szCs w:val="24"/>
        </w:rPr>
        <w:tab/>
        <w:t>For further information about anything in or related to this Risk Strategy, please contact:</w:t>
      </w:r>
    </w:p>
    <w:p w14:paraId="3C4081CB" w14:textId="77777777" w:rsidR="00B43210" w:rsidRPr="00B43210" w:rsidRDefault="00B43210" w:rsidP="00B43210">
      <w:pPr>
        <w:spacing w:after="0" w:line="240" w:lineRule="auto"/>
        <w:ind w:hanging="709"/>
        <w:rPr>
          <w:rFonts w:ascii="Arial" w:eastAsia="Calibri" w:hAnsi="Arial" w:cs="Arial"/>
          <w:color w:val="000000" w:themeColor="text1"/>
          <w:sz w:val="24"/>
          <w:szCs w:val="24"/>
        </w:rPr>
      </w:pPr>
    </w:p>
    <w:p w14:paraId="11C02789" w14:textId="77777777" w:rsidR="00B43210" w:rsidRPr="00B43210" w:rsidRDefault="00B43210" w:rsidP="00B43210">
      <w:pPr>
        <w:autoSpaceDE w:val="0"/>
        <w:autoSpaceDN w:val="0"/>
        <w:adjustRightInd w:val="0"/>
        <w:spacing w:after="0" w:line="240" w:lineRule="auto"/>
        <w:ind w:left="567" w:hanging="567"/>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Michelle Oakensen</w:t>
      </w:r>
    </w:p>
    <w:p w14:paraId="13B95DA2" w14:textId="77777777" w:rsidR="00B43210" w:rsidRPr="00B43210" w:rsidRDefault="00B43210" w:rsidP="00B43210">
      <w:pPr>
        <w:autoSpaceDE w:val="0"/>
        <w:autoSpaceDN w:val="0"/>
        <w:adjustRightInd w:val="0"/>
        <w:spacing w:after="0" w:line="240" w:lineRule="auto"/>
        <w:ind w:left="567" w:hanging="567"/>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 xml:space="preserve">Governance and Regulations Manager </w:t>
      </w:r>
    </w:p>
    <w:p w14:paraId="4949BF6E" w14:textId="77777777" w:rsidR="00B43210" w:rsidRPr="00B43210" w:rsidRDefault="00B43210" w:rsidP="00B43210">
      <w:pPr>
        <w:autoSpaceDE w:val="0"/>
        <w:autoSpaceDN w:val="0"/>
        <w:adjustRightInd w:val="0"/>
        <w:spacing w:after="0" w:line="240" w:lineRule="auto"/>
        <w:ind w:left="567" w:hanging="567"/>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Pensions Service</w:t>
      </w:r>
    </w:p>
    <w:p w14:paraId="2D41C5EA"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 xml:space="preserve">E-mail: </w:t>
      </w:r>
      <w:hyperlink r:id="rId19" w:history="1">
        <w:r w:rsidRPr="00B43210">
          <w:rPr>
            <w:rFonts w:ascii="Arial" w:eastAsia="Calibri" w:hAnsi="Arial" w:cs="Arial"/>
            <w:color w:val="0563C1" w:themeColor="hyperlink"/>
            <w:sz w:val="24"/>
            <w:szCs w:val="24"/>
            <w:u w:val="single"/>
          </w:rPr>
          <w:t>michelle.oakensen@westnorthants.gov.uk</w:t>
        </w:r>
      </w:hyperlink>
    </w:p>
    <w:p w14:paraId="4F526B83"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p>
    <w:p w14:paraId="27F361B3" w14:textId="77777777" w:rsidR="00B43210" w:rsidRPr="00B43210" w:rsidRDefault="00B43210" w:rsidP="00B43210">
      <w:pPr>
        <w:spacing w:after="0" w:line="240" w:lineRule="auto"/>
        <w:ind w:hanging="709"/>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14.2</w:t>
      </w:r>
      <w:r w:rsidRPr="00B43210">
        <w:rPr>
          <w:rFonts w:ascii="Arial" w:eastAsia="Calibri" w:hAnsi="Arial" w:cs="Arial"/>
          <w:color w:val="000000" w:themeColor="text1"/>
          <w:sz w:val="24"/>
          <w:szCs w:val="24"/>
        </w:rPr>
        <w:tab/>
        <w:t>Further information on the Cambridgeshire Pension Fund can be found on the Pensions Service website;</w:t>
      </w:r>
    </w:p>
    <w:p w14:paraId="3EF7D317" w14:textId="77777777" w:rsidR="00B43210" w:rsidRPr="00B43210" w:rsidRDefault="00F05F80" w:rsidP="00B43210">
      <w:pPr>
        <w:spacing w:after="0" w:line="240" w:lineRule="auto"/>
        <w:rPr>
          <w:rFonts w:ascii="Arial" w:eastAsia="Calibri" w:hAnsi="Arial" w:cs="Arial"/>
          <w:color w:val="000000" w:themeColor="text1"/>
          <w:sz w:val="24"/>
          <w:szCs w:val="24"/>
        </w:rPr>
      </w:pPr>
      <w:hyperlink r:id="rId20" w:history="1">
        <w:r w:rsidR="00B43210" w:rsidRPr="00B43210">
          <w:rPr>
            <w:rFonts w:ascii="Arial" w:eastAsia="Calibri" w:hAnsi="Arial" w:cs="Arial"/>
            <w:color w:val="0563C1" w:themeColor="hyperlink"/>
            <w:sz w:val="24"/>
            <w:szCs w:val="24"/>
            <w:u w:val="single"/>
          </w:rPr>
          <w:t>http://pensions.cambridgeshire.gov.uk</w:t>
        </w:r>
      </w:hyperlink>
    </w:p>
    <w:p w14:paraId="4469E2A3" w14:textId="77777777" w:rsidR="00B43210" w:rsidRPr="00B43210" w:rsidRDefault="00B43210" w:rsidP="00B43210">
      <w:pPr>
        <w:spacing w:after="0" w:line="240" w:lineRule="auto"/>
        <w:rPr>
          <w:rFonts w:ascii="Calibri" w:eastAsia="Calibri" w:hAnsi="Calibri" w:cs="Times New Roman"/>
        </w:rPr>
      </w:pPr>
    </w:p>
    <w:p w14:paraId="2D28536B" w14:textId="77777777" w:rsidR="00B43210" w:rsidRPr="00B43210" w:rsidRDefault="00B43210" w:rsidP="00B43210">
      <w:pPr>
        <w:spacing w:after="0" w:line="240" w:lineRule="auto"/>
        <w:rPr>
          <w:rFonts w:ascii="Calibri" w:eastAsia="Calibri" w:hAnsi="Calibri" w:cs="Times New Roman"/>
        </w:rPr>
        <w:sectPr w:rsidR="00B43210" w:rsidRPr="00B43210" w:rsidSect="006B0026">
          <w:footerReference w:type="default" r:id="rId21"/>
          <w:type w:val="continuous"/>
          <w:pgSz w:w="11906" w:h="16838"/>
          <w:pgMar w:top="1440" w:right="1440" w:bottom="1440" w:left="1418" w:header="708" w:footer="708" w:gutter="0"/>
          <w:cols w:space="708"/>
          <w:docGrid w:linePitch="360"/>
        </w:sectPr>
      </w:pPr>
    </w:p>
    <w:p w14:paraId="7F14FF4B" w14:textId="77777777" w:rsidR="00B43210" w:rsidRPr="00B43210" w:rsidRDefault="00B43210" w:rsidP="00B43210">
      <w:pPr>
        <w:spacing w:after="0" w:line="240" w:lineRule="auto"/>
        <w:rPr>
          <w:rFonts w:ascii="Calibri" w:eastAsia="Calibri" w:hAnsi="Calibri" w:cs="Times New Roman"/>
        </w:rPr>
      </w:pPr>
    </w:p>
    <w:p w14:paraId="6392CEC3" w14:textId="77777777" w:rsidR="00B43210" w:rsidRPr="00B43210" w:rsidRDefault="00B43210" w:rsidP="00B43210">
      <w:pPr>
        <w:keepNext/>
        <w:keepLines/>
        <w:tabs>
          <w:tab w:val="center" w:pos="4513"/>
          <w:tab w:val="right" w:pos="9026"/>
        </w:tabs>
        <w:spacing w:after="0" w:line="240" w:lineRule="auto"/>
        <w:ind w:hanging="1134"/>
        <w:outlineLvl w:val="0"/>
        <w:rPr>
          <w:rFonts w:ascii="Arial" w:eastAsiaTheme="majorEastAsia" w:hAnsi="Arial" w:cs="Arial"/>
          <w:b/>
          <w:color w:val="61207F"/>
          <w:sz w:val="24"/>
          <w:szCs w:val="24"/>
        </w:rPr>
      </w:pPr>
      <w:bookmarkStart w:id="32" w:name="_Toc112316702"/>
      <w:bookmarkStart w:id="33" w:name="_Toc112322182"/>
      <w:r w:rsidRPr="00B43210">
        <w:rPr>
          <w:rFonts w:ascii="Arial" w:eastAsiaTheme="majorEastAsia" w:hAnsi="Arial" w:cs="Arial"/>
          <w:b/>
          <w:color w:val="61207F"/>
          <w:sz w:val="24"/>
          <w:szCs w:val="24"/>
        </w:rPr>
        <w:t>Appendix 1 – Criteria for assessing impact and likelihood</w:t>
      </w:r>
      <w:bookmarkEnd w:id="32"/>
      <w:bookmarkEnd w:id="33"/>
    </w:p>
    <w:p w14:paraId="12130C0C" w14:textId="77777777" w:rsidR="00B43210" w:rsidRPr="00B43210" w:rsidRDefault="00B43210" w:rsidP="00B43210">
      <w:pPr>
        <w:spacing w:after="0" w:line="240" w:lineRule="auto"/>
        <w:rPr>
          <w:rFonts w:ascii="Arial" w:eastAsia="Calibri" w:hAnsi="Arial" w:cs="Arial"/>
          <w:b/>
          <w:sz w:val="24"/>
          <w:szCs w:val="24"/>
        </w:rPr>
      </w:pPr>
    </w:p>
    <w:p w14:paraId="7FC1EFD6" w14:textId="77777777" w:rsidR="00B43210" w:rsidRPr="00B43210" w:rsidRDefault="00B43210" w:rsidP="00B43210">
      <w:pPr>
        <w:spacing w:after="0" w:line="240" w:lineRule="auto"/>
        <w:ind w:hanging="1134"/>
        <w:rPr>
          <w:rFonts w:ascii="Arial" w:eastAsia="Calibri" w:hAnsi="Arial" w:cs="Arial"/>
          <w:b/>
          <w:sz w:val="24"/>
          <w:szCs w:val="24"/>
        </w:rPr>
      </w:pPr>
      <w:r w:rsidRPr="00B43210">
        <w:rPr>
          <w:rFonts w:ascii="Arial" w:eastAsiaTheme="majorEastAsia" w:hAnsi="Arial" w:cs="Arial"/>
          <w:b/>
          <w:color w:val="244D7A"/>
          <w:sz w:val="24"/>
          <w:szCs w:val="26"/>
        </w:rPr>
        <w:t>Impact</w:t>
      </w:r>
    </w:p>
    <w:p w14:paraId="4E1AEFE2" w14:textId="77777777" w:rsidR="00B43210" w:rsidRPr="00B43210" w:rsidRDefault="00B43210" w:rsidP="00B43210">
      <w:pPr>
        <w:spacing w:after="0" w:line="240" w:lineRule="auto"/>
        <w:ind w:hanging="1134"/>
        <w:rPr>
          <w:rFonts w:ascii="Arial" w:eastAsia="Calibri" w:hAnsi="Arial" w:cs="Arial"/>
          <w:b/>
          <w:sz w:val="24"/>
          <w:szCs w:val="24"/>
        </w:rPr>
      </w:pPr>
    </w:p>
    <w:tbl>
      <w:tblPr>
        <w:tblStyle w:val="TableGrid"/>
        <w:tblW w:w="16160" w:type="dxa"/>
        <w:tblInd w:w="-1139" w:type="dxa"/>
        <w:tblLook w:val="04A0" w:firstRow="1" w:lastRow="0" w:firstColumn="1" w:lastColumn="0" w:noHBand="0" w:noVBand="1"/>
      </w:tblPr>
      <w:tblGrid>
        <w:gridCol w:w="1564"/>
        <w:gridCol w:w="7083"/>
        <w:gridCol w:w="7513"/>
      </w:tblGrid>
      <w:tr w:rsidR="00B43210" w:rsidRPr="00B43210" w14:paraId="48ADBA6B" w14:textId="77777777" w:rsidTr="00043F03">
        <w:trPr>
          <w:trHeight w:val="272"/>
        </w:trPr>
        <w:tc>
          <w:tcPr>
            <w:tcW w:w="1564" w:type="dxa"/>
          </w:tcPr>
          <w:p w14:paraId="7A7196C7" w14:textId="77777777" w:rsidR="00B43210" w:rsidRPr="00B43210" w:rsidRDefault="00B43210" w:rsidP="00B43210">
            <w:pPr>
              <w:rPr>
                <w:rFonts w:ascii="Arial" w:eastAsia="Calibri" w:hAnsi="Arial" w:cs="Arial"/>
                <w:b/>
                <w:sz w:val="24"/>
                <w:szCs w:val="24"/>
              </w:rPr>
            </w:pPr>
            <w:r w:rsidRPr="00B43210">
              <w:rPr>
                <w:rFonts w:ascii="Arial" w:eastAsia="Calibri" w:hAnsi="Arial" w:cs="Arial"/>
                <w:b/>
                <w:sz w:val="24"/>
                <w:szCs w:val="24"/>
              </w:rPr>
              <w:t>Description</w:t>
            </w:r>
          </w:p>
        </w:tc>
        <w:tc>
          <w:tcPr>
            <w:tcW w:w="7083" w:type="dxa"/>
          </w:tcPr>
          <w:p w14:paraId="72B23CC9" w14:textId="77777777" w:rsidR="00B43210" w:rsidRPr="00B43210" w:rsidRDefault="00B43210" w:rsidP="00B43210">
            <w:pPr>
              <w:rPr>
                <w:rFonts w:ascii="Arial" w:eastAsia="Calibri" w:hAnsi="Arial" w:cs="Arial"/>
                <w:b/>
                <w:sz w:val="24"/>
                <w:szCs w:val="24"/>
              </w:rPr>
            </w:pPr>
            <w:r w:rsidRPr="00B43210">
              <w:rPr>
                <w:rFonts w:ascii="Arial" w:eastAsia="Calibri" w:hAnsi="Arial" w:cs="Arial"/>
                <w:b/>
                <w:sz w:val="24"/>
                <w:szCs w:val="24"/>
              </w:rPr>
              <w:t xml:space="preserve">Risk Appetite </w:t>
            </w:r>
          </w:p>
        </w:tc>
        <w:tc>
          <w:tcPr>
            <w:tcW w:w="7513" w:type="dxa"/>
          </w:tcPr>
          <w:p w14:paraId="3AD2EBD2" w14:textId="77777777" w:rsidR="00B43210" w:rsidRPr="00B43210" w:rsidRDefault="00B43210" w:rsidP="00B43210">
            <w:pPr>
              <w:rPr>
                <w:rFonts w:ascii="Arial" w:eastAsia="Calibri" w:hAnsi="Arial" w:cs="Arial"/>
                <w:b/>
                <w:sz w:val="24"/>
                <w:szCs w:val="24"/>
              </w:rPr>
            </w:pPr>
            <w:r w:rsidRPr="00B43210">
              <w:rPr>
                <w:rFonts w:ascii="Arial" w:eastAsia="Calibri" w:hAnsi="Arial" w:cs="Arial"/>
                <w:b/>
                <w:sz w:val="24"/>
                <w:szCs w:val="24"/>
              </w:rPr>
              <w:t xml:space="preserve">Example </w:t>
            </w:r>
          </w:p>
        </w:tc>
      </w:tr>
      <w:tr w:rsidR="00B43210" w:rsidRPr="00B43210" w14:paraId="78BB74BD" w14:textId="77777777" w:rsidTr="00043F03">
        <w:trPr>
          <w:trHeight w:val="257"/>
        </w:trPr>
        <w:tc>
          <w:tcPr>
            <w:tcW w:w="1564" w:type="dxa"/>
          </w:tcPr>
          <w:p w14:paraId="4BD580A0"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Catastrophic</w:t>
            </w:r>
          </w:p>
          <w:p w14:paraId="58B4473A"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 xml:space="preserve">(5) </w:t>
            </w:r>
          </w:p>
        </w:tc>
        <w:tc>
          <w:tcPr>
            <w:tcW w:w="7083" w:type="dxa"/>
          </w:tcPr>
          <w:p w14:paraId="171D5264" w14:textId="77777777" w:rsidR="00B43210" w:rsidRPr="00B43210" w:rsidRDefault="00B43210" w:rsidP="00B43210">
            <w:pPr>
              <w:numPr>
                <w:ilvl w:val="0"/>
                <w:numId w:val="4"/>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 xml:space="preserve">Unacceptable level of risk exposure which requires immediate action to be taken.  </w:t>
            </w:r>
          </w:p>
          <w:p w14:paraId="5AEE8365" w14:textId="77777777" w:rsidR="00B43210" w:rsidRPr="00B43210" w:rsidRDefault="00B43210" w:rsidP="00B43210">
            <w:pPr>
              <w:numPr>
                <w:ilvl w:val="0"/>
                <w:numId w:val="4"/>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 xml:space="preserve">&gt;£10m. </w:t>
            </w:r>
          </w:p>
          <w:p w14:paraId="0B3394F5" w14:textId="77777777" w:rsidR="00B43210" w:rsidRPr="00B43210" w:rsidRDefault="00B43210" w:rsidP="00B43210">
            <w:pPr>
              <w:numPr>
                <w:ilvl w:val="0"/>
                <w:numId w:val="2"/>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Section 151 or government intervention or criminal charges.</w:t>
            </w:r>
          </w:p>
          <w:p w14:paraId="54E6379F" w14:textId="77777777" w:rsidR="00B43210" w:rsidRPr="00B43210" w:rsidRDefault="00B43210" w:rsidP="00B43210">
            <w:pPr>
              <w:numPr>
                <w:ilvl w:val="0"/>
                <w:numId w:val="2"/>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Critical long term disruption to service delivery.</w:t>
            </w:r>
          </w:p>
          <w:p w14:paraId="1EF0A694" w14:textId="77777777" w:rsidR="00B43210" w:rsidRPr="00B43210" w:rsidRDefault="00B43210" w:rsidP="00B43210">
            <w:pPr>
              <w:numPr>
                <w:ilvl w:val="0"/>
                <w:numId w:val="2"/>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 xml:space="preserve">Significant and sustained local opposition to policies and/or sustained negative media reporting in national media. </w:t>
            </w:r>
          </w:p>
        </w:tc>
        <w:tc>
          <w:tcPr>
            <w:tcW w:w="7513" w:type="dxa"/>
          </w:tcPr>
          <w:p w14:paraId="1133511D"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 xml:space="preserve">Data breach containing the personal information of more than 80% of the Fund where no mitigations were put in place to minimise impact. </w:t>
            </w:r>
          </w:p>
        </w:tc>
      </w:tr>
      <w:tr w:rsidR="00B43210" w:rsidRPr="00B43210" w14:paraId="679AF95E" w14:textId="77777777" w:rsidTr="00043F03">
        <w:trPr>
          <w:trHeight w:val="272"/>
        </w:trPr>
        <w:tc>
          <w:tcPr>
            <w:tcW w:w="1564" w:type="dxa"/>
          </w:tcPr>
          <w:p w14:paraId="4A7A6122"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Major</w:t>
            </w:r>
          </w:p>
          <w:p w14:paraId="53ED3389"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(4)</w:t>
            </w:r>
          </w:p>
        </w:tc>
        <w:tc>
          <w:tcPr>
            <w:tcW w:w="7083" w:type="dxa"/>
          </w:tcPr>
          <w:p w14:paraId="4DDEF4F9" w14:textId="77777777" w:rsidR="00B43210" w:rsidRPr="00B43210" w:rsidRDefault="00B43210" w:rsidP="00B43210">
            <w:pPr>
              <w:numPr>
                <w:ilvl w:val="0"/>
                <w:numId w:val="3"/>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 xml:space="preserve">Unacceptable level of risk exposure which requires regular active monitoring (at least quarterly) and measures put in place to reduce exposure. </w:t>
            </w:r>
          </w:p>
          <w:p w14:paraId="7D68C500" w14:textId="77777777" w:rsidR="00B43210" w:rsidRPr="00B43210" w:rsidRDefault="00B43210" w:rsidP="00B43210">
            <w:pPr>
              <w:numPr>
                <w:ilvl w:val="0"/>
                <w:numId w:val="3"/>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&lt;£10m.</w:t>
            </w:r>
          </w:p>
          <w:p w14:paraId="375A9B52" w14:textId="77777777" w:rsidR="00B43210" w:rsidRPr="00B43210" w:rsidRDefault="00B43210" w:rsidP="00B43210">
            <w:pPr>
              <w:numPr>
                <w:ilvl w:val="0"/>
                <w:numId w:val="3"/>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 xml:space="preserve">Major civil litigation setting precedent and/or national public enquiry. </w:t>
            </w:r>
          </w:p>
          <w:p w14:paraId="2A055841" w14:textId="77777777" w:rsidR="00B43210" w:rsidRPr="00B43210" w:rsidRDefault="00B43210" w:rsidP="00B43210">
            <w:pPr>
              <w:numPr>
                <w:ilvl w:val="0"/>
                <w:numId w:val="3"/>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Major disruption to service delivery.</w:t>
            </w:r>
          </w:p>
          <w:p w14:paraId="2A1789AF" w14:textId="77777777" w:rsidR="00B43210" w:rsidRPr="00B43210" w:rsidRDefault="00B43210" w:rsidP="00B43210">
            <w:pPr>
              <w:numPr>
                <w:ilvl w:val="0"/>
                <w:numId w:val="3"/>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Sustained negative coverage in local media or negative reporting in the national media.</w:t>
            </w:r>
          </w:p>
        </w:tc>
        <w:tc>
          <w:tcPr>
            <w:tcW w:w="7513" w:type="dxa"/>
          </w:tcPr>
          <w:p w14:paraId="6409D0C5"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Data breach containing the personal information of more than 50% of the Fund where no mitigations were put in place to minimise impact.</w:t>
            </w:r>
          </w:p>
        </w:tc>
      </w:tr>
      <w:tr w:rsidR="00B43210" w:rsidRPr="00B43210" w14:paraId="56767BF8" w14:textId="77777777" w:rsidTr="00043F03">
        <w:trPr>
          <w:trHeight w:val="257"/>
        </w:trPr>
        <w:tc>
          <w:tcPr>
            <w:tcW w:w="1564" w:type="dxa"/>
          </w:tcPr>
          <w:p w14:paraId="3F5D8941"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 xml:space="preserve">Moderate </w:t>
            </w:r>
          </w:p>
          <w:p w14:paraId="026750FE"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(3)</w:t>
            </w:r>
          </w:p>
        </w:tc>
        <w:tc>
          <w:tcPr>
            <w:tcW w:w="7083" w:type="dxa"/>
          </w:tcPr>
          <w:p w14:paraId="509AD399" w14:textId="77777777" w:rsidR="00B43210" w:rsidRPr="00B43210" w:rsidRDefault="00B43210" w:rsidP="00B43210">
            <w:pPr>
              <w:numPr>
                <w:ilvl w:val="0"/>
                <w:numId w:val="5"/>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 xml:space="preserve">Acceptable level of risk exposure subject to regular active monitoring measures, at least quarterly. </w:t>
            </w:r>
          </w:p>
          <w:p w14:paraId="5EB47EAE" w14:textId="77777777" w:rsidR="00B43210" w:rsidRPr="00B43210" w:rsidRDefault="00B43210" w:rsidP="00B43210">
            <w:pPr>
              <w:numPr>
                <w:ilvl w:val="0"/>
                <w:numId w:val="5"/>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&lt;£5m.</w:t>
            </w:r>
          </w:p>
          <w:p w14:paraId="4D6CD1D8" w14:textId="77777777" w:rsidR="00B43210" w:rsidRPr="00B43210" w:rsidRDefault="00B43210" w:rsidP="00B43210">
            <w:pPr>
              <w:numPr>
                <w:ilvl w:val="0"/>
                <w:numId w:val="5"/>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 xml:space="preserve">Major civil litigation and/or local public enquiry. </w:t>
            </w:r>
          </w:p>
          <w:p w14:paraId="62BB363D" w14:textId="77777777" w:rsidR="00B43210" w:rsidRPr="00B43210" w:rsidRDefault="00B43210" w:rsidP="00B43210">
            <w:pPr>
              <w:numPr>
                <w:ilvl w:val="0"/>
                <w:numId w:val="5"/>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 xml:space="preserve">Moderate direct effect on service delivery. </w:t>
            </w:r>
          </w:p>
          <w:p w14:paraId="431CBC25" w14:textId="77777777" w:rsidR="00B43210" w:rsidRPr="00B43210" w:rsidRDefault="00B43210" w:rsidP="00B43210">
            <w:pPr>
              <w:numPr>
                <w:ilvl w:val="0"/>
                <w:numId w:val="5"/>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lastRenderedPageBreak/>
              <w:t>Significant negative front page reports/editorial comment in the local media.</w:t>
            </w:r>
          </w:p>
        </w:tc>
        <w:tc>
          <w:tcPr>
            <w:tcW w:w="7513" w:type="dxa"/>
          </w:tcPr>
          <w:p w14:paraId="406AA631"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lastRenderedPageBreak/>
              <w:t>Data breach containing the personal information of more than 20% of the Fund where some mitigations were put in place to minimise impact.</w:t>
            </w:r>
          </w:p>
        </w:tc>
      </w:tr>
      <w:tr w:rsidR="00B43210" w:rsidRPr="00B43210" w14:paraId="1FBDE476" w14:textId="77777777" w:rsidTr="00043F03">
        <w:trPr>
          <w:trHeight w:val="272"/>
        </w:trPr>
        <w:tc>
          <w:tcPr>
            <w:tcW w:w="1564" w:type="dxa"/>
            <w:tcBorders>
              <w:bottom w:val="single" w:sz="4" w:space="0" w:color="auto"/>
            </w:tcBorders>
          </w:tcPr>
          <w:p w14:paraId="1A7EAE97"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 xml:space="preserve">Minor </w:t>
            </w:r>
          </w:p>
          <w:p w14:paraId="08FC9400"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(2)</w:t>
            </w:r>
          </w:p>
        </w:tc>
        <w:tc>
          <w:tcPr>
            <w:tcW w:w="7083" w:type="dxa"/>
            <w:tcBorders>
              <w:bottom w:val="single" w:sz="4" w:space="0" w:color="auto"/>
            </w:tcBorders>
          </w:tcPr>
          <w:p w14:paraId="5CC67FDE" w14:textId="77777777" w:rsidR="00B43210" w:rsidRPr="00B43210" w:rsidRDefault="00B43210" w:rsidP="00B43210">
            <w:pPr>
              <w:numPr>
                <w:ilvl w:val="0"/>
                <w:numId w:val="6"/>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 xml:space="preserve">Acceptable level of risk subject to regular passive monitoring measures, at least half yearly. </w:t>
            </w:r>
          </w:p>
          <w:p w14:paraId="46244682" w14:textId="77777777" w:rsidR="00B43210" w:rsidRPr="00B43210" w:rsidRDefault="00B43210" w:rsidP="00B43210">
            <w:pPr>
              <w:numPr>
                <w:ilvl w:val="0"/>
                <w:numId w:val="6"/>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&lt;£1m.</w:t>
            </w:r>
          </w:p>
          <w:p w14:paraId="78B1C16A" w14:textId="77777777" w:rsidR="00B43210" w:rsidRPr="00B43210" w:rsidRDefault="00B43210" w:rsidP="00B43210">
            <w:pPr>
              <w:numPr>
                <w:ilvl w:val="0"/>
                <w:numId w:val="6"/>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Minor regulatory enforcement.</w:t>
            </w:r>
          </w:p>
          <w:p w14:paraId="5655F7B1" w14:textId="77777777" w:rsidR="00B43210" w:rsidRPr="00B43210" w:rsidRDefault="00B43210" w:rsidP="00B43210">
            <w:pPr>
              <w:numPr>
                <w:ilvl w:val="0"/>
                <w:numId w:val="6"/>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Minor disruption to service delivery.</w:t>
            </w:r>
          </w:p>
          <w:p w14:paraId="3B0C28A1" w14:textId="77777777" w:rsidR="00B43210" w:rsidRPr="00B43210" w:rsidRDefault="00B43210" w:rsidP="00B43210">
            <w:pPr>
              <w:numPr>
                <w:ilvl w:val="0"/>
                <w:numId w:val="6"/>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 xml:space="preserve">Minimal negative local media reporting. </w:t>
            </w:r>
          </w:p>
        </w:tc>
        <w:tc>
          <w:tcPr>
            <w:tcW w:w="7513" w:type="dxa"/>
            <w:tcBorders>
              <w:bottom w:val="single" w:sz="4" w:space="0" w:color="auto"/>
            </w:tcBorders>
          </w:tcPr>
          <w:p w14:paraId="5C7F6E78"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Data breach containing the personal information of more than 5% of the Fund and some mitigations were put in pace to minimise impact.</w:t>
            </w:r>
          </w:p>
        </w:tc>
      </w:tr>
      <w:tr w:rsidR="00B43210" w:rsidRPr="00B43210" w14:paraId="2F5E58BD" w14:textId="77777777" w:rsidTr="00043F03">
        <w:trPr>
          <w:trHeight w:val="257"/>
        </w:trPr>
        <w:tc>
          <w:tcPr>
            <w:tcW w:w="1564" w:type="dxa"/>
            <w:tcBorders>
              <w:bottom w:val="single" w:sz="4" w:space="0" w:color="auto"/>
            </w:tcBorders>
          </w:tcPr>
          <w:p w14:paraId="52F247CD"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Insignificant</w:t>
            </w:r>
          </w:p>
          <w:p w14:paraId="33B96182"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 xml:space="preserve">(1) </w:t>
            </w:r>
          </w:p>
        </w:tc>
        <w:tc>
          <w:tcPr>
            <w:tcW w:w="7083" w:type="dxa"/>
            <w:tcBorders>
              <w:bottom w:val="single" w:sz="4" w:space="0" w:color="auto"/>
            </w:tcBorders>
          </w:tcPr>
          <w:p w14:paraId="69DE907D" w14:textId="77777777" w:rsidR="00B43210" w:rsidRPr="00B43210" w:rsidRDefault="00B43210" w:rsidP="00B43210">
            <w:pPr>
              <w:numPr>
                <w:ilvl w:val="0"/>
                <w:numId w:val="7"/>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 xml:space="preserve">Acceptable level of risk subject to periodic passive monitoring measures, at least annually. </w:t>
            </w:r>
          </w:p>
          <w:p w14:paraId="1A5A0A91" w14:textId="77777777" w:rsidR="00B43210" w:rsidRPr="00B43210" w:rsidRDefault="00B43210" w:rsidP="00B43210">
            <w:pPr>
              <w:numPr>
                <w:ilvl w:val="0"/>
                <w:numId w:val="7"/>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&lt;£0.5m.</w:t>
            </w:r>
          </w:p>
          <w:p w14:paraId="0B541985" w14:textId="77777777" w:rsidR="00B43210" w:rsidRPr="00B43210" w:rsidRDefault="00B43210" w:rsidP="00B43210">
            <w:pPr>
              <w:numPr>
                <w:ilvl w:val="0"/>
                <w:numId w:val="7"/>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Minor civil litigation or regulatory criticism.</w:t>
            </w:r>
          </w:p>
          <w:p w14:paraId="3463C9AD" w14:textId="77777777" w:rsidR="00B43210" w:rsidRPr="00B43210" w:rsidRDefault="00B43210" w:rsidP="00B43210">
            <w:pPr>
              <w:numPr>
                <w:ilvl w:val="0"/>
                <w:numId w:val="7"/>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Insignificant disruption to service delivery.</w:t>
            </w:r>
          </w:p>
          <w:p w14:paraId="733CBAD3" w14:textId="77777777" w:rsidR="00B43210" w:rsidRPr="00B43210" w:rsidRDefault="00B43210" w:rsidP="00B43210">
            <w:pPr>
              <w:numPr>
                <w:ilvl w:val="0"/>
                <w:numId w:val="7"/>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 xml:space="preserve">No reputational impact. </w:t>
            </w:r>
          </w:p>
        </w:tc>
        <w:tc>
          <w:tcPr>
            <w:tcW w:w="7513" w:type="dxa"/>
            <w:tcBorders>
              <w:bottom w:val="single" w:sz="4" w:space="0" w:color="auto"/>
            </w:tcBorders>
          </w:tcPr>
          <w:p w14:paraId="7BD82DB4"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 xml:space="preserve">Data breach containing the personal information of up to 5% of the Fund and all mitigations were in place to minimise impact.  </w:t>
            </w:r>
          </w:p>
        </w:tc>
      </w:tr>
    </w:tbl>
    <w:p w14:paraId="517F185C" w14:textId="77777777" w:rsidR="00B43210" w:rsidRPr="00B43210" w:rsidRDefault="00B43210" w:rsidP="00B43210">
      <w:pPr>
        <w:spacing w:after="0" w:line="240" w:lineRule="auto"/>
        <w:rPr>
          <w:rFonts w:ascii="Calibri" w:eastAsia="Calibri" w:hAnsi="Calibri" w:cs="Times New Roman"/>
        </w:rPr>
      </w:pPr>
    </w:p>
    <w:p w14:paraId="13D66920" w14:textId="77777777" w:rsidR="00B43210" w:rsidRPr="00B43210" w:rsidRDefault="00B43210" w:rsidP="00B43210">
      <w:pPr>
        <w:spacing w:after="0" w:line="240" w:lineRule="auto"/>
        <w:rPr>
          <w:rFonts w:ascii="Calibri" w:eastAsia="Calibri" w:hAnsi="Calibri" w:cs="Times New Roman"/>
        </w:rPr>
      </w:pPr>
    </w:p>
    <w:p w14:paraId="238BB317" w14:textId="77777777" w:rsidR="00B43210" w:rsidRPr="00B43210" w:rsidRDefault="00B43210" w:rsidP="00B43210">
      <w:pPr>
        <w:spacing w:after="0" w:line="240" w:lineRule="auto"/>
        <w:ind w:hanging="1134"/>
        <w:rPr>
          <w:rFonts w:ascii="Arial" w:eastAsia="Calibri" w:hAnsi="Arial" w:cs="Arial"/>
          <w:b/>
          <w:sz w:val="24"/>
          <w:szCs w:val="24"/>
        </w:rPr>
      </w:pPr>
      <w:r w:rsidRPr="00B43210">
        <w:rPr>
          <w:rFonts w:ascii="Arial" w:eastAsiaTheme="majorEastAsia" w:hAnsi="Arial" w:cs="Arial"/>
          <w:b/>
          <w:color w:val="244D7A"/>
          <w:sz w:val="24"/>
          <w:szCs w:val="26"/>
        </w:rPr>
        <w:t xml:space="preserve">Likelihood </w:t>
      </w:r>
      <w:r w:rsidRPr="00B43210">
        <w:rPr>
          <w:rFonts w:ascii="Arial" w:eastAsia="Calibri" w:hAnsi="Arial" w:cs="Arial"/>
          <w:b/>
          <w:sz w:val="24"/>
          <w:szCs w:val="24"/>
        </w:rPr>
        <w:t xml:space="preserve"> </w:t>
      </w:r>
    </w:p>
    <w:p w14:paraId="41623141" w14:textId="77777777" w:rsidR="00B43210" w:rsidRPr="00B43210" w:rsidRDefault="00B43210" w:rsidP="00B43210">
      <w:pPr>
        <w:spacing w:after="0" w:line="240" w:lineRule="auto"/>
        <w:rPr>
          <w:rFonts w:ascii="Arial" w:eastAsia="Calibri" w:hAnsi="Arial" w:cs="Arial"/>
          <w:b/>
          <w:sz w:val="24"/>
          <w:szCs w:val="24"/>
        </w:rPr>
      </w:pPr>
    </w:p>
    <w:p w14:paraId="6F08516B" w14:textId="77777777" w:rsidR="00B43210" w:rsidRPr="00B43210" w:rsidRDefault="00B43210" w:rsidP="00B43210">
      <w:pPr>
        <w:spacing w:after="0" w:line="240" w:lineRule="auto"/>
        <w:rPr>
          <w:rFonts w:ascii="Arial" w:eastAsia="Calibri" w:hAnsi="Arial" w:cs="Arial"/>
          <w:sz w:val="24"/>
          <w:szCs w:val="24"/>
        </w:rPr>
      </w:pPr>
    </w:p>
    <w:tbl>
      <w:tblPr>
        <w:tblStyle w:val="TableGrid"/>
        <w:tblW w:w="16160" w:type="dxa"/>
        <w:tblInd w:w="-1139" w:type="dxa"/>
        <w:tblLook w:val="04A0" w:firstRow="1" w:lastRow="0" w:firstColumn="1" w:lastColumn="0" w:noHBand="0" w:noVBand="1"/>
      </w:tblPr>
      <w:tblGrid>
        <w:gridCol w:w="4395"/>
        <w:gridCol w:w="11765"/>
      </w:tblGrid>
      <w:tr w:rsidR="00B43210" w:rsidRPr="00B43210" w14:paraId="05B63E5E" w14:textId="77777777" w:rsidTr="00043F03">
        <w:trPr>
          <w:trHeight w:val="225"/>
        </w:trPr>
        <w:tc>
          <w:tcPr>
            <w:tcW w:w="4395" w:type="dxa"/>
          </w:tcPr>
          <w:p w14:paraId="2D2868AA" w14:textId="77777777" w:rsidR="00B43210" w:rsidRPr="00B43210" w:rsidRDefault="00B43210" w:rsidP="00B43210">
            <w:pPr>
              <w:rPr>
                <w:rFonts w:ascii="Arial" w:eastAsia="Calibri" w:hAnsi="Arial" w:cs="Arial"/>
                <w:b/>
                <w:sz w:val="24"/>
                <w:szCs w:val="24"/>
              </w:rPr>
            </w:pPr>
            <w:r w:rsidRPr="00B43210">
              <w:rPr>
                <w:rFonts w:ascii="Arial" w:eastAsia="Calibri" w:hAnsi="Arial" w:cs="Arial"/>
                <w:b/>
                <w:sz w:val="24"/>
                <w:szCs w:val="24"/>
              </w:rPr>
              <w:t xml:space="preserve">Description </w:t>
            </w:r>
          </w:p>
        </w:tc>
        <w:tc>
          <w:tcPr>
            <w:tcW w:w="11765" w:type="dxa"/>
          </w:tcPr>
          <w:p w14:paraId="0243FFBA" w14:textId="77777777" w:rsidR="00B43210" w:rsidRPr="00B43210" w:rsidRDefault="00B43210" w:rsidP="00B43210">
            <w:pPr>
              <w:rPr>
                <w:rFonts w:ascii="Arial" w:eastAsia="Calibri" w:hAnsi="Arial" w:cs="Arial"/>
                <w:b/>
                <w:sz w:val="24"/>
                <w:szCs w:val="24"/>
              </w:rPr>
            </w:pPr>
            <w:r w:rsidRPr="00B43210">
              <w:rPr>
                <w:rFonts w:ascii="Arial" w:eastAsia="Calibri" w:hAnsi="Arial" w:cs="Arial"/>
                <w:b/>
                <w:sz w:val="24"/>
                <w:szCs w:val="24"/>
              </w:rPr>
              <w:t>% risk of happening            Or            Potential timescale</w:t>
            </w:r>
          </w:p>
        </w:tc>
      </w:tr>
      <w:tr w:rsidR="00B43210" w:rsidRPr="00B43210" w14:paraId="5A628CA0" w14:textId="77777777" w:rsidTr="00043F03">
        <w:trPr>
          <w:trHeight w:val="439"/>
        </w:trPr>
        <w:tc>
          <w:tcPr>
            <w:tcW w:w="4395" w:type="dxa"/>
          </w:tcPr>
          <w:p w14:paraId="3B834DAE"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Rare (1)</w:t>
            </w:r>
          </w:p>
        </w:tc>
        <w:tc>
          <w:tcPr>
            <w:tcW w:w="11765" w:type="dxa"/>
          </w:tcPr>
          <w:p w14:paraId="3747D927"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5                                                            Once in 20 or more years</w:t>
            </w:r>
          </w:p>
        </w:tc>
      </w:tr>
      <w:tr w:rsidR="00B43210" w:rsidRPr="00B43210" w14:paraId="6994EDD8" w14:textId="77777777" w:rsidTr="00043F03">
        <w:trPr>
          <w:trHeight w:val="225"/>
        </w:trPr>
        <w:tc>
          <w:tcPr>
            <w:tcW w:w="4395" w:type="dxa"/>
          </w:tcPr>
          <w:p w14:paraId="11B9BFB4"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Unlikely (2)</w:t>
            </w:r>
          </w:p>
        </w:tc>
        <w:tc>
          <w:tcPr>
            <w:tcW w:w="11765" w:type="dxa"/>
          </w:tcPr>
          <w:p w14:paraId="1DFC0D3F"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15                                                          Once in 10 to less than 20 years</w:t>
            </w:r>
          </w:p>
        </w:tc>
      </w:tr>
      <w:tr w:rsidR="00B43210" w:rsidRPr="00B43210" w14:paraId="58422306" w14:textId="77777777" w:rsidTr="00043F03">
        <w:trPr>
          <w:trHeight w:val="213"/>
        </w:trPr>
        <w:tc>
          <w:tcPr>
            <w:tcW w:w="4395" w:type="dxa"/>
          </w:tcPr>
          <w:p w14:paraId="11756E02"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Possible (3)</w:t>
            </w:r>
          </w:p>
        </w:tc>
        <w:tc>
          <w:tcPr>
            <w:tcW w:w="11765" w:type="dxa"/>
          </w:tcPr>
          <w:p w14:paraId="610A03D6"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40                                                          Once in 3 to less than 10 years</w:t>
            </w:r>
          </w:p>
        </w:tc>
      </w:tr>
      <w:tr w:rsidR="00B43210" w:rsidRPr="00B43210" w14:paraId="525E5875" w14:textId="77777777" w:rsidTr="00043F03">
        <w:trPr>
          <w:trHeight w:val="225"/>
        </w:trPr>
        <w:tc>
          <w:tcPr>
            <w:tcW w:w="4395" w:type="dxa"/>
          </w:tcPr>
          <w:p w14:paraId="7C4687CD"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Likely (4)</w:t>
            </w:r>
          </w:p>
        </w:tc>
        <w:tc>
          <w:tcPr>
            <w:tcW w:w="11765" w:type="dxa"/>
          </w:tcPr>
          <w:p w14:paraId="38D4AF85"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65                                                          Once in 1 to less than 3 years</w:t>
            </w:r>
          </w:p>
        </w:tc>
      </w:tr>
      <w:tr w:rsidR="00B43210" w:rsidRPr="00B43210" w14:paraId="3478FC15" w14:textId="77777777" w:rsidTr="00043F03">
        <w:trPr>
          <w:trHeight w:val="213"/>
        </w:trPr>
        <w:tc>
          <w:tcPr>
            <w:tcW w:w="4395" w:type="dxa"/>
          </w:tcPr>
          <w:p w14:paraId="087463DD"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Almost certain (5)</w:t>
            </w:r>
          </w:p>
        </w:tc>
        <w:tc>
          <w:tcPr>
            <w:tcW w:w="11765" w:type="dxa"/>
          </w:tcPr>
          <w:p w14:paraId="7427C337"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80                                                          At least once in a year</w:t>
            </w:r>
          </w:p>
        </w:tc>
      </w:tr>
    </w:tbl>
    <w:p w14:paraId="206B8913" w14:textId="77777777" w:rsidR="00B43210" w:rsidRPr="00B43210" w:rsidRDefault="00B43210" w:rsidP="00B43210">
      <w:pPr>
        <w:spacing w:after="0" w:line="240" w:lineRule="auto"/>
        <w:rPr>
          <w:rFonts w:ascii="Calibri" w:eastAsia="Calibri" w:hAnsi="Calibri" w:cs="Times New Roman"/>
        </w:rPr>
      </w:pPr>
    </w:p>
    <w:p w14:paraId="58765067" w14:textId="77777777" w:rsidR="00B43210" w:rsidRPr="00B43210" w:rsidRDefault="00B43210" w:rsidP="00B43210">
      <w:pPr>
        <w:spacing w:after="0" w:line="240" w:lineRule="auto"/>
        <w:rPr>
          <w:rFonts w:ascii="Arial" w:eastAsia="Times New Roman" w:hAnsi="Arial" w:cs="Times New Roman"/>
          <w:sz w:val="24"/>
          <w:szCs w:val="20"/>
          <w:lang w:eastAsia="en-GB"/>
        </w:rPr>
      </w:pPr>
    </w:p>
    <w:p w14:paraId="4DF76997" w14:textId="77777777" w:rsidR="00B43210" w:rsidRPr="00B43210" w:rsidRDefault="00B43210" w:rsidP="00B43210">
      <w:pPr>
        <w:spacing w:after="0" w:line="240" w:lineRule="auto"/>
        <w:rPr>
          <w:rFonts w:ascii="Arial" w:eastAsia="Times New Roman" w:hAnsi="Arial" w:cs="Times New Roman"/>
          <w:sz w:val="24"/>
          <w:szCs w:val="20"/>
          <w:lang w:eastAsia="en-GB"/>
        </w:rPr>
      </w:pPr>
    </w:p>
    <w:bookmarkEnd w:id="0"/>
    <w:p w14:paraId="279AAE75" w14:textId="77777777" w:rsidR="00B43210" w:rsidRPr="00B43210" w:rsidRDefault="00B43210" w:rsidP="00B43210"/>
    <w:p w14:paraId="3B88D339" w14:textId="77777777" w:rsidR="006D00D1" w:rsidRDefault="006D00D1"/>
    <w:sectPr w:rsidR="006D00D1" w:rsidSect="008F6DC6">
      <w:pgSz w:w="16838" w:h="11906" w:orient="landscape"/>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56036" w14:textId="77777777" w:rsidR="008E3EDE" w:rsidRDefault="008E3EDE">
      <w:pPr>
        <w:spacing w:after="0" w:line="240" w:lineRule="auto"/>
      </w:pPr>
      <w:r>
        <w:separator/>
      </w:r>
    </w:p>
  </w:endnote>
  <w:endnote w:type="continuationSeparator" w:id="0">
    <w:p w14:paraId="45CFB20B" w14:textId="77777777" w:rsidR="008E3EDE" w:rsidRDefault="008E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F598" w14:textId="77777777" w:rsidR="00F036E6" w:rsidRDefault="00B43210">
    <w:pPr>
      <w:pStyle w:val="Footer"/>
    </w:pPr>
    <w:r>
      <w:rPr>
        <w:noProof/>
      </w:rPr>
      <w:drawing>
        <wp:inline distT="0" distB="0" distL="0" distR="0" wp14:anchorId="09E8A5CF" wp14:editId="3D2DB07E">
          <wp:extent cx="3045600" cy="1015200"/>
          <wp:effectExtent l="0" t="0" r="2540" b="0"/>
          <wp:docPr id="8" name="Picture 8" descr="Logo West Northamptonshire Council and Cambridgeshire County Council administered i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West Northamptonshire Council and Cambridgeshire County Council administered in partnership"/>
                  <pic:cNvPicPr/>
                </pic:nvPicPr>
                <pic:blipFill>
                  <a:blip r:embed="rId1">
                    <a:extLst>
                      <a:ext uri="{28A0092B-C50C-407E-A947-70E740481C1C}">
                        <a14:useLocalDpi xmlns:a14="http://schemas.microsoft.com/office/drawing/2010/main" val="0"/>
                      </a:ext>
                    </a:extLst>
                  </a:blip>
                  <a:stretch>
                    <a:fillRect/>
                  </a:stretch>
                </pic:blipFill>
                <pic:spPr>
                  <a:xfrm>
                    <a:off x="0" y="0"/>
                    <a:ext cx="3045600" cy="10152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D8B5" w14:textId="77777777" w:rsidR="005A5D42" w:rsidRDefault="00F05F80">
    <w:pPr>
      <w:pStyle w:val="Footer"/>
      <w:jc w:val="center"/>
    </w:pPr>
  </w:p>
  <w:p w14:paraId="30FD58A5" w14:textId="77777777" w:rsidR="005A5D42" w:rsidRDefault="00F05F80" w:rsidP="006B0026">
    <w:pPr>
      <w:pStyle w:val="Footer"/>
      <w:tabs>
        <w:tab w:val="clear" w:pos="451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37A1" w14:textId="77777777" w:rsidR="005A5D42" w:rsidRDefault="00B43210">
    <w:pPr>
      <w:pStyle w:val="Footer"/>
      <w:jc w:val="center"/>
    </w:pPr>
    <w:r>
      <w:fldChar w:fldCharType="begin"/>
    </w:r>
    <w:r>
      <w:instrText xml:space="preserve"> PAGE   \* MERGEFORMAT </w:instrText>
    </w:r>
    <w:r>
      <w:fldChar w:fldCharType="separate"/>
    </w:r>
    <w:r>
      <w:rPr>
        <w:noProof/>
      </w:rPr>
      <w:t>12</w:t>
    </w:r>
    <w:r>
      <w:rPr>
        <w:noProof/>
      </w:rPr>
      <w:fldChar w:fldCharType="end"/>
    </w:r>
  </w:p>
  <w:p w14:paraId="41E2E00D" w14:textId="77777777" w:rsidR="005A5D42" w:rsidRDefault="00F05F80" w:rsidP="006B0026">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50275" w14:textId="77777777" w:rsidR="008E3EDE" w:rsidRDefault="008E3EDE">
      <w:pPr>
        <w:spacing w:after="0" w:line="240" w:lineRule="auto"/>
      </w:pPr>
      <w:r>
        <w:separator/>
      </w:r>
    </w:p>
  </w:footnote>
  <w:footnote w:type="continuationSeparator" w:id="0">
    <w:p w14:paraId="151071FC" w14:textId="77777777" w:rsidR="008E3EDE" w:rsidRDefault="008E3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222B" w14:textId="77777777" w:rsidR="00F036E6" w:rsidRDefault="00F05F80" w:rsidP="00FF16A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D524" w14:textId="77777777" w:rsidR="00F036E6" w:rsidRDefault="00B43210" w:rsidP="00FF16AA">
    <w:pPr>
      <w:pStyle w:val="Header"/>
      <w:jc w:val="right"/>
    </w:pPr>
    <w:r>
      <w:rPr>
        <w:noProof/>
      </w:rPr>
      <w:drawing>
        <wp:inline distT="0" distB="0" distL="0" distR="0" wp14:anchorId="7B272F2C" wp14:editId="2949A917">
          <wp:extent cx="1792800" cy="676800"/>
          <wp:effectExtent l="0" t="0" r="0" b="0"/>
          <wp:docPr id="3" name="Picture 3" descr="Logo Cambridgeshire Pension Fu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ambridgeshire Pension Fund&#10;"/>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12E6"/>
    <w:multiLevelType w:val="hybridMultilevel"/>
    <w:tmpl w:val="B8204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68312C"/>
    <w:multiLevelType w:val="hybridMultilevel"/>
    <w:tmpl w:val="2262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090060"/>
    <w:multiLevelType w:val="hybridMultilevel"/>
    <w:tmpl w:val="2DE6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534167"/>
    <w:multiLevelType w:val="hybridMultilevel"/>
    <w:tmpl w:val="B10C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772E9A"/>
    <w:multiLevelType w:val="hybridMultilevel"/>
    <w:tmpl w:val="250E1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507F02"/>
    <w:multiLevelType w:val="hybridMultilevel"/>
    <w:tmpl w:val="8A902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FC5EE6"/>
    <w:multiLevelType w:val="multilevel"/>
    <w:tmpl w:val="9D88E512"/>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73E50BB"/>
    <w:multiLevelType w:val="hybridMultilevel"/>
    <w:tmpl w:val="B8F2C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7"/>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10"/>
    <w:rsid w:val="004066E1"/>
    <w:rsid w:val="00420FFD"/>
    <w:rsid w:val="006D00D1"/>
    <w:rsid w:val="008E3EDE"/>
    <w:rsid w:val="00B43210"/>
    <w:rsid w:val="00B81B41"/>
    <w:rsid w:val="00C703DA"/>
    <w:rsid w:val="00C953DD"/>
    <w:rsid w:val="00D36DCD"/>
    <w:rsid w:val="00EF0A1D"/>
    <w:rsid w:val="00F05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ECEA2"/>
  <w15:chartTrackingRefBased/>
  <w15:docId w15:val="{70BE742A-3647-4219-8582-FB8E87DC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321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43210"/>
  </w:style>
  <w:style w:type="paragraph" w:styleId="Footer">
    <w:name w:val="footer"/>
    <w:basedOn w:val="Normal"/>
    <w:link w:val="FooterChar"/>
    <w:uiPriority w:val="99"/>
    <w:semiHidden/>
    <w:unhideWhenUsed/>
    <w:rsid w:val="00B4321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43210"/>
  </w:style>
  <w:style w:type="table" w:styleId="TableGrid">
    <w:name w:val="Table Grid"/>
    <w:basedOn w:val="TableNormal"/>
    <w:uiPriority w:val="39"/>
    <w:rsid w:val="00B4321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43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pensions.cambridgeshire.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jwalton@northamptonshir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C3B1D3-72E9-4E3B-8337-E952968AFA7F}"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GB"/>
        </a:p>
      </dgm:t>
    </dgm:pt>
    <dgm:pt modelId="{F211497F-E0BB-40BD-8F8F-7CE47203929C}">
      <dgm:prSet phldrT="[Text]"/>
      <dgm:spPr>
        <a:xfrm>
          <a:off x="2972769" y="69230"/>
          <a:ext cx="1106137" cy="1106137"/>
        </a:xfrm>
        <a:prstGeom prst="rect">
          <a:avLst/>
        </a:prstGeom>
        <a:noFill/>
        <a:ln>
          <a:noFill/>
        </a:ln>
        <a:effectLst/>
      </dgm:spPr>
      <dgm:t>
        <a:bodyPr/>
        <a:lstStyle/>
        <a:p>
          <a:pPr algn="ct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Analysis</a:t>
          </a:r>
        </a:p>
      </dgm:t>
    </dgm:pt>
    <dgm:pt modelId="{94DD0569-C570-42FE-9BA6-18ACC982B256}" type="parTrans" cxnId="{A462C9F8-1AAB-41C4-83DC-1FD2AF3493C5}">
      <dgm:prSet/>
      <dgm:spPr/>
      <dgm:t>
        <a:bodyPr/>
        <a:lstStyle/>
        <a:p>
          <a:pPr algn="ctr"/>
          <a:endParaRPr lang="en-GB"/>
        </a:p>
      </dgm:t>
    </dgm:pt>
    <dgm:pt modelId="{7C50D337-9A11-44B6-B4C4-6766D384A246}" type="sibTrans" cxnId="{A462C9F8-1AAB-41C4-83DC-1FD2AF3493C5}">
      <dgm:prSet/>
      <dgm:spPr>
        <a:xfrm>
          <a:off x="1023287" y="-650"/>
          <a:ext cx="3125500" cy="3125500"/>
        </a:xfrm>
        <a:prstGeom prst="circularArrow">
          <a:avLst>
            <a:gd name="adj1" fmla="val 6904"/>
            <a:gd name="adj2" fmla="val 465506"/>
            <a:gd name="adj3" fmla="val 548766"/>
            <a:gd name="adj4" fmla="val 20585728"/>
            <a:gd name="adj5" fmla="val 8055"/>
          </a:avLst>
        </a:prstGeom>
        <a:solidFill>
          <a:srgbClr val="993366"/>
        </a:solidFill>
        <a:ln w="12700" cap="flat" cmpd="sng" algn="ctr">
          <a:solidFill>
            <a:sysClr val="window" lastClr="FFFFFF">
              <a:hueOff val="0"/>
              <a:satOff val="0"/>
              <a:lumOff val="0"/>
              <a:alphaOff val="0"/>
            </a:sysClr>
          </a:solidFill>
          <a:prstDash val="solid"/>
          <a:miter lim="800000"/>
        </a:ln>
        <a:effectLst/>
      </dgm:spPr>
      <dgm:t>
        <a:bodyPr/>
        <a:lstStyle/>
        <a:p>
          <a:pPr algn="ctr"/>
          <a:endParaRPr lang="en-GB"/>
        </a:p>
      </dgm:t>
    </dgm:pt>
    <dgm:pt modelId="{63B2A052-6854-46F9-9B18-49B53D051380}">
      <dgm:prSet phldrT="[Text]"/>
      <dgm:spPr>
        <a:xfrm>
          <a:off x="2972769" y="1948832"/>
          <a:ext cx="1106137" cy="1106137"/>
        </a:xfrm>
        <a:prstGeom prst="rect">
          <a:avLst/>
        </a:prstGeom>
        <a:noFill/>
        <a:ln>
          <a:noFill/>
        </a:ln>
        <a:effectLst/>
      </dgm:spPr>
      <dgm:t>
        <a:bodyPr/>
        <a:lstStyle/>
        <a:p>
          <a:pPr algn="ct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Control</a:t>
          </a:r>
        </a:p>
      </dgm:t>
    </dgm:pt>
    <dgm:pt modelId="{6272AD6B-DB00-44A4-89DF-CB5389C7C0FB}" type="parTrans" cxnId="{6FBE904F-21F4-4A44-A505-8A18B73E1BD7}">
      <dgm:prSet/>
      <dgm:spPr/>
      <dgm:t>
        <a:bodyPr/>
        <a:lstStyle/>
        <a:p>
          <a:pPr algn="ctr"/>
          <a:endParaRPr lang="en-GB"/>
        </a:p>
      </dgm:t>
    </dgm:pt>
    <dgm:pt modelId="{177C6C3F-37DA-46ED-B0B3-5609DA079923}" type="sibTrans" cxnId="{6FBE904F-21F4-4A44-A505-8A18B73E1BD7}">
      <dgm:prSet/>
      <dgm:spPr>
        <a:xfrm>
          <a:off x="1023287" y="-650"/>
          <a:ext cx="3125500" cy="3125500"/>
        </a:xfrm>
        <a:prstGeom prst="circularArrow">
          <a:avLst>
            <a:gd name="adj1" fmla="val 6904"/>
            <a:gd name="adj2" fmla="val 465506"/>
            <a:gd name="adj3" fmla="val 5948766"/>
            <a:gd name="adj4" fmla="val 4385728"/>
            <a:gd name="adj5" fmla="val 8055"/>
          </a:avLst>
        </a:prstGeom>
        <a:solidFill>
          <a:srgbClr val="993366"/>
        </a:solidFill>
        <a:ln w="12700" cap="flat" cmpd="sng" algn="ctr">
          <a:solidFill>
            <a:sysClr val="window" lastClr="FFFFFF">
              <a:hueOff val="0"/>
              <a:satOff val="0"/>
              <a:lumOff val="0"/>
              <a:alphaOff val="0"/>
            </a:sysClr>
          </a:solidFill>
          <a:prstDash val="solid"/>
          <a:miter lim="800000"/>
        </a:ln>
        <a:effectLst/>
      </dgm:spPr>
      <dgm:t>
        <a:bodyPr/>
        <a:lstStyle/>
        <a:p>
          <a:pPr algn="ctr"/>
          <a:endParaRPr lang="en-GB"/>
        </a:p>
      </dgm:t>
    </dgm:pt>
    <dgm:pt modelId="{D315BAAF-E48D-4ED5-8C1F-DAE7039A5BE9}">
      <dgm:prSet phldrT="[Text]"/>
      <dgm:spPr>
        <a:xfrm>
          <a:off x="1093168" y="1948832"/>
          <a:ext cx="1106137" cy="1106137"/>
        </a:xfrm>
        <a:prstGeom prst="rect">
          <a:avLst/>
        </a:prstGeom>
        <a:noFill/>
        <a:ln>
          <a:noFill/>
        </a:ln>
        <a:effectLst/>
      </dgm:spPr>
      <dgm:t>
        <a:bodyPr/>
        <a:lstStyle/>
        <a:p>
          <a:pPr algn="ct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Monitoring</a:t>
          </a:r>
        </a:p>
      </dgm:t>
    </dgm:pt>
    <dgm:pt modelId="{01279BB9-148A-4802-878A-0DFCB0717139}" type="parTrans" cxnId="{BAB1D14A-96A0-4C50-96BE-96DE34897E80}">
      <dgm:prSet/>
      <dgm:spPr/>
      <dgm:t>
        <a:bodyPr/>
        <a:lstStyle/>
        <a:p>
          <a:pPr algn="ctr"/>
          <a:endParaRPr lang="en-GB"/>
        </a:p>
      </dgm:t>
    </dgm:pt>
    <dgm:pt modelId="{1595C7EE-C544-4E83-A390-E6DD0D916EE2}" type="sibTrans" cxnId="{BAB1D14A-96A0-4C50-96BE-96DE34897E80}">
      <dgm:prSet/>
      <dgm:spPr>
        <a:xfrm>
          <a:off x="1023287" y="-650"/>
          <a:ext cx="3125500" cy="3125500"/>
        </a:xfrm>
        <a:prstGeom prst="circularArrow">
          <a:avLst>
            <a:gd name="adj1" fmla="val 6904"/>
            <a:gd name="adj2" fmla="val 465506"/>
            <a:gd name="adj3" fmla="val 11348766"/>
            <a:gd name="adj4" fmla="val 9785728"/>
            <a:gd name="adj5" fmla="val 8055"/>
          </a:avLst>
        </a:prstGeom>
        <a:solidFill>
          <a:srgbClr val="993366"/>
        </a:solidFill>
        <a:ln w="12700" cap="flat" cmpd="sng" algn="ctr">
          <a:solidFill>
            <a:sysClr val="window" lastClr="FFFFFF">
              <a:hueOff val="0"/>
              <a:satOff val="0"/>
              <a:lumOff val="0"/>
              <a:alphaOff val="0"/>
            </a:sysClr>
          </a:solidFill>
          <a:prstDash val="solid"/>
          <a:miter lim="800000"/>
        </a:ln>
        <a:effectLst/>
      </dgm:spPr>
      <dgm:t>
        <a:bodyPr/>
        <a:lstStyle/>
        <a:p>
          <a:pPr algn="ctr"/>
          <a:endParaRPr lang="en-GB"/>
        </a:p>
      </dgm:t>
    </dgm:pt>
    <dgm:pt modelId="{7549ED5D-4343-4AE1-B466-41E3EB195CDF}">
      <dgm:prSet phldrT="[Text]"/>
      <dgm:spPr>
        <a:xfrm>
          <a:off x="1093168" y="69230"/>
          <a:ext cx="1106137" cy="1106137"/>
        </a:xfrm>
        <a:prstGeom prst="rect">
          <a:avLst/>
        </a:prstGeom>
        <a:noFill/>
        <a:ln>
          <a:noFill/>
        </a:ln>
        <a:effectLst/>
      </dgm:spPr>
      <dgm:t>
        <a:bodyPr/>
        <a:lstStyle/>
        <a:p>
          <a:pPr algn="ct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Identification</a:t>
          </a:r>
        </a:p>
      </dgm:t>
    </dgm:pt>
    <dgm:pt modelId="{F9DA14C0-EA14-4748-8189-DAEFBEB4CF72}" type="parTrans" cxnId="{68C1FD3C-BE86-4390-AC88-E1B2D85D84E2}">
      <dgm:prSet/>
      <dgm:spPr/>
      <dgm:t>
        <a:bodyPr/>
        <a:lstStyle/>
        <a:p>
          <a:pPr algn="ctr"/>
          <a:endParaRPr lang="en-GB"/>
        </a:p>
      </dgm:t>
    </dgm:pt>
    <dgm:pt modelId="{D7FA3D70-76C3-401F-98AF-1131386D29FD}" type="sibTrans" cxnId="{68C1FD3C-BE86-4390-AC88-E1B2D85D84E2}">
      <dgm:prSet/>
      <dgm:spPr>
        <a:xfrm>
          <a:off x="1023287" y="-650"/>
          <a:ext cx="3125500" cy="3125500"/>
        </a:xfrm>
        <a:prstGeom prst="circularArrow">
          <a:avLst>
            <a:gd name="adj1" fmla="val 6904"/>
            <a:gd name="adj2" fmla="val 465506"/>
            <a:gd name="adj3" fmla="val 16748766"/>
            <a:gd name="adj4" fmla="val 15185728"/>
            <a:gd name="adj5" fmla="val 8055"/>
          </a:avLst>
        </a:prstGeom>
        <a:solidFill>
          <a:srgbClr val="993366"/>
        </a:solidFill>
        <a:ln w="12700" cap="flat" cmpd="sng" algn="ctr">
          <a:solidFill>
            <a:sysClr val="window" lastClr="FFFFFF">
              <a:hueOff val="0"/>
              <a:satOff val="0"/>
              <a:lumOff val="0"/>
              <a:alphaOff val="0"/>
            </a:sysClr>
          </a:solidFill>
          <a:prstDash val="solid"/>
          <a:miter lim="800000"/>
        </a:ln>
        <a:effectLst/>
      </dgm:spPr>
      <dgm:t>
        <a:bodyPr/>
        <a:lstStyle/>
        <a:p>
          <a:pPr algn="ctr"/>
          <a:endParaRPr lang="en-GB"/>
        </a:p>
      </dgm:t>
    </dgm:pt>
    <dgm:pt modelId="{15DE49EF-FD21-4BEC-B288-68E4B4D7836A}" type="pres">
      <dgm:prSet presAssocID="{C5C3B1D3-72E9-4E3B-8337-E952968AFA7F}" presName="cycle" presStyleCnt="0">
        <dgm:presLayoutVars>
          <dgm:dir/>
          <dgm:resizeHandles val="exact"/>
        </dgm:presLayoutVars>
      </dgm:prSet>
      <dgm:spPr/>
    </dgm:pt>
    <dgm:pt modelId="{98CA01E7-5835-4512-A70D-325160F2BAC1}" type="pres">
      <dgm:prSet presAssocID="{F211497F-E0BB-40BD-8F8F-7CE47203929C}" presName="dummy" presStyleCnt="0"/>
      <dgm:spPr/>
    </dgm:pt>
    <dgm:pt modelId="{3C09DB73-E94D-4BBD-8FF4-F90D29DBF8AA}" type="pres">
      <dgm:prSet presAssocID="{F211497F-E0BB-40BD-8F8F-7CE47203929C}" presName="node" presStyleLbl="revTx" presStyleIdx="0" presStyleCnt="4">
        <dgm:presLayoutVars>
          <dgm:bulletEnabled val="1"/>
        </dgm:presLayoutVars>
      </dgm:prSet>
      <dgm:spPr/>
    </dgm:pt>
    <dgm:pt modelId="{34A4AA76-5EB8-4ED6-ADC5-C61C7640800A}" type="pres">
      <dgm:prSet presAssocID="{7C50D337-9A11-44B6-B4C4-6766D384A246}" presName="sibTrans" presStyleLbl="node1" presStyleIdx="0" presStyleCnt="4"/>
      <dgm:spPr/>
    </dgm:pt>
    <dgm:pt modelId="{79DDD2D5-35BE-44D7-8623-5044419192A3}" type="pres">
      <dgm:prSet presAssocID="{63B2A052-6854-46F9-9B18-49B53D051380}" presName="dummy" presStyleCnt="0"/>
      <dgm:spPr/>
    </dgm:pt>
    <dgm:pt modelId="{C1E820D8-D9F2-497F-8B69-4380F345CD86}" type="pres">
      <dgm:prSet presAssocID="{63B2A052-6854-46F9-9B18-49B53D051380}" presName="node" presStyleLbl="revTx" presStyleIdx="1" presStyleCnt="4">
        <dgm:presLayoutVars>
          <dgm:bulletEnabled val="1"/>
        </dgm:presLayoutVars>
      </dgm:prSet>
      <dgm:spPr/>
    </dgm:pt>
    <dgm:pt modelId="{6ACF62C8-EEDC-4AC5-AE51-6DB722B9CFAA}" type="pres">
      <dgm:prSet presAssocID="{177C6C3F-37DA-46ED-B0B3-5609DA079923}" presName="sibTrans" presStyleLbl="node1" presStyleIdx="1" presStyleCnt="4"/>
      <dgm:spPr/>
    </dgm:pt>
    <dgm:pt modelId="{14596E3D-A707-4A1E-AF8C-A265ACC765CA}" type="pres">
      <dgm:prSet presAssocID="{D315BAAF-E48D-4ED5-8C1F-DAE7039A5BE9}" presName="dummy" presStyleCnt="0"/>
      <dgm:spPr/>
    </dgm:pt>
    <dgm:pt modelId="{5F07D746-202C-4EEE-80AC-0067CF06E663}" type="pres">
      <dgm:prSet presAssocID="{D315BAAF-E48D-4ED5-8C1F-DAE7039A5BE9}" presName="node" presStyleLbl="revTx" presStyleIdx="2" presStyleCnt="4">
        <dgm:presLayoutVars>
          <dgm:bulletEnabled val="1"/>
        </dgm:presLayoutVars>
      </dgm:prSet>
      <dgm:spPr/>
    </dgm:pt>
    <dgm:pt modelId="{B26A23A2-0591-4DFD-9BF8-CD9ED4487B06}" type="pres">
      <dgm:prSet presAssocID="{1595C7EE-C544-4E83-A390-E6DD0D916EE2}" presName="sibTrans" presStyleLbl="node1" presStyleIdx="2" presStyleCnt="4"/>
      <dgm:spPr/>
    </dgm:pt>
    <dgm:pt modelId="{1F24AF69-A664-4DAD-BB7D-55B3F9C43FCD}" type="pres">
      <dgm:prSet presAssocID="{7549ED5D-4343-4AE1-B466-41E3EB195CDF}" presName="dummy" presStyleCnt="0"/>
      <dgm:spPr/>
    </dgm:pt>
    <dgm:pt modelId="{96B994C6-0482-4C31-AA96-DC797F3F45E9}" type="pres">
      <dgm:prSet presAssocID="{7549ED5D-4343-4AE1-B466-41E3EB195CDF}" presName="node" presStyleLbl="revTx" presStyleIdx="3" presStyleCnt="4">
        <dgm:presLayoutVars>
          <dgm:bulletEnabled val="1"/>
        </dgm:presLayoutVars>
      </dgm:prSet>
      <dgm:spPr/>
    </dgm:pt>
    <dgm:pt modelId="{7DFBD6FD-9439-429E-9431-BE51E5CF4723}" type="pres">
      <dgm:prSet presAssocID="{D7FA3D70-76C3-401F-98AF-1131386D29FD}" presName="sibTrans" presStyleLbl="node1" presStyleIdx="3" presStyleCnt="4"/>
      <dgm:spPr/>
    </dgm:pt>
  </dgm:ptLst>
  <dgm:cxnLst>
    <dgm:cxn modelId="{50A32C0F-0570-494B-8074-1F909E805023}" type="presOf" srcId="{1595C7EE-C544-4E83-A390-E6DD0D916EE2}" destId="{B26A23A2-0591-4DFD-9BF8-CD9ED4487B06}" srcOrd="0" destOrd="0" presId="urn:microsoft.com/office/officeart/2005/8/layout/cycle1"/>
    <dgm:cxn modelId="{590BD81B-C3AA-47E1-A897-A26A2B0881A8}" type="presOf" srcId="{177C6C3F-37DA-46ED-B0B3-5609DA079923}" destId="{6ACF62C8-EEDC-4AC5-AE51-6DB722B9CFAA}" srcOrd="0" destOrd="0" presId="urn:microsoft.com/office/officeart/2005/8/layout/cycle1"/>
    <dgm:cxn modelId="{68C1FD3C-BE86-4390-AC88-E1B2D85D84E2}" srcId="{C5C3B1D3-72E9-4E3B-8337-E952968AFA7F}" destId="{7549ED5D-4343-4AE1-B466-41E3EB195CDF}" srcOrd="3" destOrd="0" parTransId="{F9DA14C0-EA14-4748-8189-DAEFBEB4CF72}" sibTransId="{D7FA3D70-76C3-401F-98AF-1131386D29FD}"/>
    <dgm:cxn modelId="{BAB1D14A-96A0-4C50-96BE-96DE34897E80}" srcId="{C5C3B1D3-72E9-4E3B-8337-E952968AFA7F}" destId="{D315BAAF-E48D-4ED5-8C1F-DAE7039A5BE9}" srcOrd="2" destOrd="0" parTransId="{01279BB9-148A-4802-878A-0DFCB0717139}" sibTransId="{1595C7EE-C544-4E83-A390-E6DD0D916EE2}"/>
    <dgm:cxn modelId="{6FBE904F-21F4-4A44-A505-8A18B73E1BD7}" srcId="{C5C3B1D3-72E9-4E3B-8337-E952968AFA7F}" destId="{63B2A052-6854-46F9-9B18-49B53D051380}" srcOrd="1" destOrd="0" parTransId="{6272AD6B-DB00-44A4-89DF-CB5389C7C0FB}" sibTransId="{177C6C3F-37DA-46ED-B0B3-5609DA079923}"/>
    <dgm:cxn modelId="{9DBF8154-0C3C-436D-A69C-E577C299BA36}" type="presOf" srcId="{7549ED5D-4343-4AE1-B466-41E3EB195CDF}" destId="{96B994C6-0482-4C31-AA96-DC797F3F45E9}" srcOrd="0" destOrd="0" presId="urn:microsoft.com/office/officeart/2005/8/layout/cycle1"/>
    <dgm:cxn modelId="{FCDF6B79-E754-4DE6-90A1-8431EA6A33F8}" type="presOf" srcId="{C5C3B1D3-72E9-4E3B-8337-E952968AFA7F}" destId="{15DE49EF-FD21-4BEC-B288-68E4B4D7836A}" srcOrd="0" destOrd="0" presId="urn:microsoft.com/office/officeart/2005/8/layout/cycle1"/>
    <dgm:cxn modelId="{22D179BF-AB08-4AE7-B1C4-E576D55CEB99}" type="presOf" srcId="{7C50D337-9A11-44B6-B4C4-6766D384A246}" destId="{34A4AA76-5EB8-4ED6-ADC5-C61C7640800A}" srcOrd="0" destOrd="0" presId="urn:microsoft.com/office/officeart/2005/8/layout/cycle1"/>
    <dgm:cxn modelId="{C093B4C5-0C27-43AA-B451-A35844AB3277}" type="presOf" srcId="{D315BAAF-E48D-4ED5-8C1F-DAE7039A5BE9}" destId="{5F07D746-202C-4EEE-80AC-0067CF06E663}" srcOrd="0" destOrd="0" presId="urn:microsoft.com/office/officeart/2005/8/layout/cycle1"/>
    <dgm:cxn modelId="{B52A81D4-6D86-478B-BF7B-CE82FB10ED1F}" type="presOf" srcId="{D7FA3D70-76C3-401F-98AF-1131386D29FD}" destId="{7DFBD6FD-9439-429E-9431-BE51E5CF4723}" srcOrd="0" destOrd="0" presId="urn:microsoft.com/office/officeart/2005/8/layout/cycle1"/>
    <dgm:cxn modelId="{F4C2EAE4-F711-4166-AA88-DA124C437C85}" type="presOf" srcId="{F211497F-E0BB-40BD-8F8F-7CE47203929C}" destId="{3C09DB73-E94D-4BBD-8FF4-F90D29DBF8AA}" srcOrd="0" destOrd="0" presId="urn:microsoft.com/office/officeart/2005/8/layout/cycle1"/>
    <dgm:cxn modelId="{A462C9F8-1AAB-41C4-83DC-1FD2AF3493C5}" srcId="{C5C3B1D3-72E9-4E3B-8337-E952968AFA7F}" destId="{F211497F-E0BB-40BD-8F8F-7CE47203929C}" srcOrd="0" destOrd="0" parTransId="{94DD0569-C570-42FE-9BA6-18ACC982B256}" sibTransId="{7C50D337-9A11-44B6-B4C4-6766D384A246}"/>
    <dgm:cxn modelId="{D997F8FB-773E-4D6A-91B8-3959EF2C7C2C}" type="presOf" srcId="{63B2A052-6854-46F9-9B18-49B53D051380}" destId="{C1E820D8-D9F2-497F-8B69-4380F345CD86}" srcOrd="0" destOrd="0" presId="urn:microsoft.com/office/officeart/2005/8/layout/cycle1"/>
    <dgm:cxn modelId="{C078F976-B8BF-40C8-932E-BCB3887E57C2}" type="presParOf" srcId="{15DE49EF-FD21-4BEC-B288-68E4B4D7836A}" destId="{98CA01E7-5835-4512-A70D-325160F2BAC1}" srcOrd="0" destOrd="0" presId="urn:microsoft.com/office/officeart/2005/8/layout/cycle1"/>
    <dgm:cxn modelId="{A6615990-0A8F-4336-8C5B-F420BF90C722}" type="presParOf" srcId="{15DE49EF-FD21-4BEC-B288-68E4B4D7836A}" destId="{3C09DB73-E94D-4BBD-8FF4-F90D29DBF8AA}" srcOrd="1" destOrd="0" presId="urn:microsoft.com/office/officeart/2005/8/layout/cycle1"/>
    <dgm:cxn modelId="{488E9326-B19F-4548-9BA4-2A1F36E58217}" type="presParOf" srcId="{15DE49EF-FD21-4BEC-B288-68E4B4D7836A}" destId="{34A4AA76-5EB8-4ED6-ADC5-C61C7640800A}" srcOrd="2" destOrd="0" presId="urn:microsoft.com/office/officeart/2005/8/layout/cycle1"/>
    <dgm:cxn modelId="{034648D8-E0E7-4576-823F-857AD899A8C3}" type="presParOf" srcId="{15DE49EF-FD21-4BEC-B288-68E4B4D7836A}" destId="{79DDD2D5-35BE-44D7-8623-5044419192A3}" srcOrd="3" destOrd="0" presId="urn:microsoft.com/office/officeart/2005/8/layout/cycle1"/>
    <dgm:cxn modelId="{17CE2EB3-8C75-4B35-A9E4-80455311B044}" type="presParOf" srcId="{15DE49EF-FD21-4BEC-B288-68E4B4D7836A}" destId="{C1E820D8-D9F2-497F-8B69-4380F345CD86}" srcOrd="4" destOrd="0" presId="urn:microsoft.com/office/officeart/2005/8/layout/cycle1"/>
    <dgm:cxn modelId="{BDD26C73-F0DC-4610-9998-AA539EA46DEA}" type="presParOf" srcId="{15DE49EF-FD21-4BEC-B288-68E4B4D7836A}" destId="{6ACF62C8-EEDC-4AC5-AE51-6DB722B9CFAA}" srcOrd="5" destOrd="0" presId="urn:microsoft.com/office/officeart/2005/8/layout/cycle1"/>
    <dgm:cxn modelId="{43773C61-994B-41EC-A1FA-1FF26C6183EB}" type="presParOf" srcId="{15DE49EF-FD21-4BEC-B288-68E4B4D7836A}" destId="{14596E3D-A707-4A1E-AF8C-A265ACC765CA}" srcOrd="6" destOrd="0" presId="urn:microsoft.com/office/officeart/2005/8/layout/cycle1"/>
    <dgm:cxn modelId="{7CBAE36C-E95B-4BF8-A063-9FE9EBEF2347}" type="presParOf" srcId="{15DE49EF-FD21-4BEC-B288-68E4B4D7836A}" destId="{5F07D746-202C-4EEE-80AC-0067CF06E663}" srcOrd="7" destOrd="0" presId="urn:microsoft.com/office/officeart/2005/8/layout/cycle1"/>
    <dgm:cxn modelId="{342BD58C-5809-4A77-9D35-2AA8672D41BB}" type="presParOf" srcId="{15DE49EF-FD21-4BEC-B288-68E4B4D7836A}" destId="{B26A23A2-0591-4DFD-9BF8-CD9ED4487B06}" srcOrd="8" destOrd="0" presId="urn:microsoft.com/office/officeart/2005/8/layout/cycle1"/>
    <dgm:cxn modelId="{AF54A620-C41A-4873-BE93-B354D73EF8AF}" type="presParOf" srcId="{15DE49EF-FD21-4BEC-B288-68E4B4D7836A}" destId="{1F24AF69-A664-4DAD-BB7D-55B3F9C43FCD}" srcOrd="9" destOrd="0" presId="urn:microsoft.com/office/officeart/2005/8/layout/cycle1"/>
    <dgm:cxn modelId="{870900C9-F22C-4BA5-9693-D31C1D0CE14F}" type="presParOf" srcId="{15DE49EF-FD21-4BEC-B288-68E4B4D7836A}" destId="{96B994C6-0482-4C31-AA96-DC797F3F45E9}" srcOrd="10" destOrd="0" presId="urn:microsoft.com/office/officeart/2005/8/layout/cycle1"/>
    <dgm:cxn modelId="{DE4A6C83-5133-463C-B942-69992383B310}" type="presParOf" srcId="{15DE49EF-FD21-4BEC-B288-68E4B4D7836A}" destId="{7DFBD6FD-9439-429E-9431-BE51E5CF4723}" srcOrd="11" destOrd="0" presId="urn:microsoft.com/office/officeart/2005/8/layout/cycle1"/>
  </dgm:cxnLst>
  <dgm:bg>
    <a:noFill/>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09DB73-E94D-4BBD-8FF4-F90D29DBF8AA}">
      <dsp:nvSpPr>
        <dsp:cNvPr id="0" name=""/>
        <dsp:cNvSpPr/>
      </dsp:nvSpPr>
      <dsp:spPr>
        <a:xfrm>
          <a:off x="2972769" y="69230"/>
          <a:ext cx="1106137" cy="11061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Analysis</a:t>
          </a:r>
        </a:p>
      </dsp:txBody>
      <dsp:txXfrm>
        <a:off x="2972769" y="69230"/>
        <a:ext cx="1106137" cy="1106137"/>
      </dsp:txXfrm>
    </dsp:sp>
    <dsp:sp modelId="{34A4AA76-5EB8-4ED6-ADC5-C61C7640800A}">
      <dsp:nvSpPr>
        <dsp:cNvPr id="0" name=""/>
        <dsp:cNvSpPr/>
      </dsp:nvSpPr>
      <dsp:spPr>
        <a:xfrm>
          <a:off x="1023287" y="-650"/>
          <a:ext cx="3125500" cy="3125500"/>
        </a:xfrm>
        <a:prstGeom prst="circularArrow">
          <a:avLst>
            <a:gd name="adj1" fmla="val 6904"/>
            <a:gd name="adj2" fmla="val 465506"/>
            <a:gd name="adj3" fmla="val 548766"/>
            <a:gd name="adj4" fmla="val 20585728"/>
            <a:gd name="adj5" fmla="val 8055"/>
          </a:avLst>
        </a:prstGeom>
        <a:solidFill>
          <a:srgbClr val="99336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1E820D8-D9F2-497F-8B69-4380F345CD86}">
      <dsp:nvSpPr>
        <dsp:cNvPr id="0" name=""/>
        <dsp:cNvSpPr/>
      </dsp:nvSpPr>
      <dsp:spPr>
        <a:xfrm>
          <a:off x="2972769" y="1948832"/>
          <a:ext cx="1106137" cy="11061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Control</a:t>
          </a:r>
        </a:p>
      </dsp:txBody>
      <dsp:txXfrm>
        <a:off x="2972769" y="1948832"/>
        <a:ext cx="1106137" cy="1106137"/>
      </dsp:txXfrm>
    </dsp:sp>
    <dsp:sp modelId="{6ACF62C8-EEDC-4AC5-AE51-6DB722B9CFAA}">
      <dsp:nvSpPr>
        <dsp:cNvPr id="0" name=""/>
        <dsp:cNvSpPr/>
      </dsp:nvSpPr>
      <dsp:spPr>
        <a:xfrm>
          <a:off x="1023287" y="-650"/>
          <a:ext cx="3125500" cy="3125500"/>
        </a:xfrm>
        <a:prstGeom prst="circularArrow">
          <a:avLst>
            <a:gd name="adj1" fmla="val 6904"/>
            <a:gd name="adj2" fmla="val 465506"/>
            <a:gd name="adj3" fmla="val 5948766"/>
            <a:gd name="adj4" fmla="val 4385728"/>
            <a:gd name="adj5" fmla="val 8055"/>
          </a:avLst>
        </a:prstGeom>
        <a:solidFill>
          <a:srgbClr val="99336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F07D746-202C-4EEE-80AC-0067CF06E663}">
      <dsp:nvSpPr>
        <dsp:cNvPr id="0" name=""/>
        <dsp:cNvSpPr/>
      </dsp:nvSpPr>
      <dsp:spPr>
        <a:xfrm>
          <a:off x="1093168" y="1948832"/>
          <a:ext cx="1106137" cy="11061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Monitoring</a:t>
          </a:r>
        </a:p>
      </dsp:txBody>
      <dsp:txXfrm>
        <a:off x="1093168" y="1948832"/>
        <a:ext cx="1106137" cy="1106137"/>
      </dsp:txXfrm>
    </dsp:sp>
    <dsp:sp modelId="{B26A23A2-0591-4DFD-9BF8-CD9ED4487B06}">
      <dsp:nvSpPr>
        <dsp:cNvPr id="0" name=""/>
        <dsp:cNvSpPr/>
      </dsp:nvSpPr>
      <dsp:spPr>
        <a:xfrm>
          <a:off x="1023287" y="-650"/>
          <a:ext cx="3125500" cy="3125500"/>
        </a:xfrm>
        <a:prstGeom prst="circularArrow">
          <a:avLst>
            <a:gd name="adj1" fmla="val 6904"/>
            <a:gd name="adj2" fmla="val 465506"/>
            <a:gd name="adj3" fmla="val 11348766"/>
            <a:gd name="adj4" fmla="val 9785728"/>
            <a:gd name="adj5" fmla="val 8055"/>
          </a:avLst>
        </a:prstGeom>
        <a:solidFill>
          <a:srgbClr val="99336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6B994C6-0482-4C31-AA96-DC797F3F45E9}">
      <dsp:nvSpPr>
        <dsp:cNvPr id="0" name=""/>
        <dsp:cNvSpPr/>
      </dsp:nvSpPr>
      <dsp:spPr>
        <a:xfrm>
          <a:off x="1093168" y="69230"/>
          <a:ext cx="1106137" cy="11061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Identification</a:t>
          </a:r>
        </a:p>
      </dsp:txBody>
      <dsp:txXfrm>
        <a:off x="1093168" y="69230"/>
        <a:ext cx="1106137" cy="1106137"/>
      </dsp:txXfrm>
    </dsp:sp>
    <dsp:sp modelId="{7DFBD6FD-9439-429E-9431-BE51E5CF4723}">
      <dsp:nvSpPr>
        <dsp:cNvPr id="0" name=""/>
        <dsp:cNvSpPr/>
      </dsp:nvSpPr>
      <dsp:spPr>
        <a:xfrm>
          <a:off x="1023287" y="-650"/>
          <a:ext cx="3125500" cy="3125500"/>
        </a:xfrm>
        <a:prstGeom prst="circularArrow">
          <a:avLst>
            <a:gd name="adj1" fmla="val 6904"/>
            <a:gd name="adj2" fmla="val 465506"/>
            <a:gd name="adj3" fmla="val 16748766"/>
            <a:gd name="adj4" fmla="val 15185728"/>
            <a:gd name="adj5" fmla="val 8055"/>
          </a:avLst>
        </a:prstGeom>
        <a:solidFill>
          <a:srgbClr val="99336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und xmlns="fb421853-688c-4895-9bf8-6bc14ea16dd3">CPF</Fun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C8A295830D9F4D995725E03682D6C2" ma:contentTypeVersion="3" ma:contentTypeDescription="Create a new document." ma:contentTypeScope="" ma:versionID="f827bf90b87a2d1eab582920c8105e13">
  <xsd:schema xmlns:xsd="http://www.w3.org/2001/XMLSchema" xmlns:xs="http://www.w3.org/2001/XMLSchema" xmlns:p="http://schemas.microsoft.com/office/2006/metadata/properties" xmlns:ns2="fb421853-688c-4895-9bf8-6bc14ea16dd3" targetNamespace="http://schemas.microsoft.com/office/2006/metadata/properties" ma:root="true" ma:fieldsID="94f0e5ee660cc6c15cccff8796a55645" ns2:_="">
    <xsd:import namespace="fb421853-688c-4895-9bf8-6bc14ea16dd3"/>
    <xsd:element name="properties">
      <xsd:complexType>
        <xsd:sequence>
          <xsd:element name="documentManagement">
            <xsd:complexType>
              <xsd:all>
                <xsd:element ref="ns2:MediaServiceMetadata" minOccurs="0"/>
                <xsd:element ref="ns2:MediaServiceFastMetadata" minOccurs="0"/>
                <xsd:element ref="ns2:F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21853-688c-4895-9bf8-6bc14ea1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und" ma:index="10" nillable="true" ma:displayName="Fund" ma:format="Dropdown" ma:internalName="Fund">
      <xsd:simpleType>
        <xsd:restriction base="dms:Choice">
          <xsd:enumeration value="NPF"/>
          <xsd:enumeration value="CP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37829-F8A7-43B0-9BEB-67A1773686E1}">
  <ds:schemaRefs>
    <ds:schemaRef ds:uri="http://schemas.microsoft.com/office/2006/metadata/properties"/>
    <ds:schemaRef ds:uri="http://schemas.microsoft.com/office/infopath/2007/PartnerControls"/>
    <ds:schemaRef ds:uri="fb421853-688c-4895-9bf8-6bc14ea16dd3"/>
  </ds:schemaRefs>
</ds:datastoreItem>
</file>

<file path=customXml/itemProps2.xml><?xml version="1.0" encoding="utf-8"?>
<ds:datastoreItem xmlns:ds="http://schemas.openxmlformats.org/officeDocument/2006/customXml" ds:itemID="{C42DAA9A-66E2-4E75-9D29-A00CF4F51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21853-688c-4895-9bf8-6bc14ea16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A3645C-17D0-4BA6-BBCE-A9BDC5AFD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3348</Words>
  <Characters>19085</Characters>
  <Application>Microsoft Office Word</Application>
  <DocSecurity>4</DocSecurity>
  <Lines>159</Lines>
  <Paragraphs>44</Paragraphs>
  <ScaleCrop>false</ScaleCrop>
  <Company>Northants Unitary</Company>
  <LinksUpToDate>false</LinksUpToDate>
  <CharactersWithSpaces>22389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Ana-Maria Neal Gonzalez</cp:lastModifiedBy>
  <cp:revision>2</cp:revision>
  <dcterms:created xsi:type="dcterms:W3CDTF">2022-12-21T09:39:00Z</dcterms:created>
  <dcterms:modified xsi:type="dcterms:W3CDTF">2022-12-21T09:39:00Z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0x010100FEC8A295830D9F4D995725E03682D6C2</vt:lpwstr>
  </property>
</Properties>
</file>