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2499" w14:textId="3B76FDFE" w:rsidR="00FB05A8" w:rsidRPr="00FB05A8" w:rsidRDefault="00FB05A8" w:rsidP="00FB05A8">
      <w:pPr>
        <w:spacing w:before="4000" w:after="160" w:line="259" w:lineRule="auto"/>
        <w:ind w:left="0" w:firstLine="0"/>
        <w:jc w:val="center"/>
        <w:rPr>
          <w:rFonts w:asciiTheme="minorHAnsi" w:eastAsiaTheme="minorHAnsi" w:hAnsiTheme="minorHAnsi" w:cstheme="minorBidi"/>
          <w:color w:val="61207F"/>
          <w:sz w:val="72"/>
          <w:szCs w:val="72"/>
          <w:lang w:eastAsia="en-US"/>
        </w:rPr>
      </w:pPr>
      <w:r w:rsidRPr="00FB05A8">
        <w:rPr>
          <w:rFonts w:asciiTheme="minorHAnsi" w:eastAsiaTheme="minorHAnsi" w:hAnsiTheme="minorHAnsi" w:cstheme="minorBidi"/>
          <w:color w:val="61207F"/>
          <w:sz w:val="72"/>
          <w:szCs w:val="72"/>
          <w:lang w:eastAsia="en-US"/>
        </w:rPr>
        <w:t xml:space="preserve">Investment Strategy Statement </w:t>
      </w:r>
    </w:p>
    <w:p w14:paraId="67C1621B" w14:textId="77777777" w:rsidR="00FB05A8" w:rsidRDefault="00FB05A8" w:rsidP="004B50B9">
      <w:pPr>
        <w:spacing w:after="0" w:line="259" w:lineRule="auto"/>
        <w:ind w:left="14" w:right="350" w:firstLine="0"/>
        <w:rPr>
          <w:color w:val="auto"/>
          <w:sz w:val="36"/>
        </w:rPr>
        <w:sectPr w:rsidR="00FB05A8">
          <w:headerReference w:type="even" r:id="rId11"/>
          <w:headerReference w:type="default" r:id="rId12"/>
          <w:footerReference w:type="even" r:id="rId13"/>
          <w:footerReference w:type="default" r:id="rId14"/>
          <w:headerReference w:type="first" r:id="rId15"/>
          <w:footerReference w:type="first" r:id="rId16"/>
          <w:pgSz w:w="11906" w:h="16838"/>
          <w:pgMar w:top="1849" w:right="514" w:bottom="1570" w:left="1119" w:header="740" w:footer="326" w:gutter="0"/>
          <w:cols w:space="720"/>
        </w:sectPr>
      </w:pPr>
    </w:p>
    <w:sdt>
      <w:sdtPr>
        <w:rPr>
          <w:rFonts w:ascii="Arial" w:eastAsia="Arial" w:hAnsi="Arial" w:cs="Arial"/>
          <w:color w:val="000000"/>
          <w:sz w:val="23"/>
          <w:szCs w:val="22"/>
          <w:lang w:val="en-GB" w:eastAsia="en-GB"/>
        </w:rPr>
        <w:id w:val="-812329833"/>
        <w:docPartObj>
          <w:docPartGallery w:val="Table of Contents"/>
          <w:docPartUnique/>
        </w:docPartObj>
      </w:sdtPr>
      <w:sdtEndPr>
        <w:rPr>
          <w:b/>
          <w:bCs/>
          <w:noProof/>
        </w:rPr>
      </w:sdtEndPr>
      <w:sdtContent>
        <w:p w14:paraId="5DD8EBCF" w14:textId="73463777" w:rsidR="00F258E8" w:rsidRDefault="00F258E8">
          <w:pPr>
            <w:pStyle w:val="TOCHeading"/>
          </w:pPr>
          <w:r>
            <w:t>Contents</w:t>
          </w:r>
        </w:p>
        <w:p w14:paraId="4C07A6C2" w14:textId="771B59E8" w:rsidR="00E219C7" w:rsidRDefault="00F258E8">
          <w:pPr>
            <w:pStyle w:val="TOC2"/>
            <w:tabs>
              <w:tab w:val="left" w:pos="660"/>
              <w:tab w:val="right" w:leader="dot" w:pos="10263"/>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77166426" w:history="1">
            <w:r w:rsidR="00E219C7" w:rsidRPr="00D7103F">
              <w:rPr>
                <w:rStyle w:val="Hyperlink"/>
                <w:noProof/>
              </w:rPr>
              <w:t>1.</w:t>
            </w:r>
            <w:r w:rsidR="00E219C7">
              <w:rPr>
                <w:rFonts w:asciiTheme="minorHAnsi" w:eastAsiaTheme="minorEastAsia" w:hAnsiTheme="minorHAnsi" w:cstheme="minorBidi"/>
                <w:noProof/>
                <w:color w:val="auto"/>
                <w:sz w:val="22"/>
              </w:rPr>
              <w:tab/>
            </w:r>
            <w:r w:rsidR="00E219C7" w:rsidRPr="00D7103F">
              <w:rPr>
                <w:rStyle w:val="Hyperlink"/>
                <w:noProof/>
              </w:rPr>
              <w:t>INTRODUCTION AND BACKGROUND</w:t>
            </w:r>
            <w:r w:rsidR="00E219C7">
              <w:rPr>
                <w:noProof/>
                <w:webHidden/>
              </w:rPr>
              <w:tab/>
            </w:r>
            <w:r w:rsidR="00E219C7">
              <w:rPr>
                <w:noProof/>
                <w:webHidden/>
              </w:rPr>
              <w:fldChar w:fldCharType="begin"/>
            </w:r>
            <w:r w:rsidR="00E219C7">
              <w:rPr>
                <w:noProof/>
                <w:webHidden/>
              </w:rPr>
              <w:instrText xml:space="preserve"> PAGEREF _Toc77166426 \h </w:instrText>
            </w:r>
            <w:r w:rsidR="00E219C7">
              <w:rPr>
                <w:noProof/>
                <w:webHidden/>
              </w:rPr>
            </w:r>
            <w:r w:rsidR="00E219C7">
              <w:rPr>
                <w:noProof/>
                <w:webHidden/>
              </w:rPr>
              <w:fldChar w:fldCharType="separate"/>
            </w:r>
            <w:r w:rsidR="00E219C7">
              <w:rPr>
                <w:noProof/>
                <w:webHidden/>
              </w:rPr>
              <w:t>1</w:t>
            </w:r>
            <w:r w:rsidR="00E219C7">
              <w:rPr>
                <w:noProof/>
                <w:webHidden/>
              </w:rPr>
              <w:fldChar w:fldCharType="end"/>
            </w:r>
          </w:hyperlink>
        </w:p>
        <w:p w14:paraId="5C9531EC" w14:textId="3D40AA8D" w:rsidR="00E219C7" w:rsidRDefault="0078021E">
          <w:pPr>
            <w:pStyle w:val="TOC2"/>
            <w:tabs>
              <w:tab w:val="left" w:pos="660"/>
              <w:tab w:val="right" w:leader="dot" w:pos="10263"/>
            </w:tabs>
            <w:rPr>
              <w:rFonts w:asciiTheme="minorHAnsi" w:eastAsiaTheme="minorEastAsia" w:hAnsiTheme="minorHAnsi" w:cstheme="minorBidi"/>
              <w:noProof/>
              <w:color w:val="auto"/>
              <w:sz w:val="22"/>
            </w:rPr>
          </w:pPr>
          <w:hyperlink w:anchor="_Toc77166427" w:history="1">
            <w:r w:rsidR="00E219C7" w:rsidRPr="00D7103F">
              <w:rPr>
                <w:rStyle w:val="Hyperlink"/>
                <w:noProof/>
              </w:rPr>
              <w:t>2.</w:t>
            </w:r>
            <w:r w:rsidR="00E219C7">
              <w:rPr>
                <w:rFonts w:asciiTheme="minorHAnsi" w:eastAsiaTheme="minorEastAsia" w:hAnsiTheme="minorHAnsi" w:cstheme="minorBidi"/>
                <w:noProof/>
                <w:color w:val="auto"/>
                <w:sz w:val="22"/>
              </w:rPr>
              <w:tab/>
            </w:r>
            <w:r w:rsidR="00E219C7" w:rsidRPr="00D7103F">
              <w:rPr>
                <w:rStyle w:val="Hyperlink"/>
                <w:noProof/>
              </w:rPr>
              <w:t>OBJECTIVES OF THE FUND</w:t>
            </w:r>
            <w:r w:rsidR="00E219C7">
              <w:rPr>
                <w:noProof/>
                <w:webHidden/>
              </w:rPr>
              <w:tab/>
            </w:r>
            <w:r w:rsidR="00E219C7">
              <w:rPr>
                <w:noProof/>
                <w:webHidden/>
              </w:rPr>
              <w:fldChar w:fldCharType="begin"/>
            </w:r>
            <w:r w:rsidR="00E219C7">
              <w:rPr>
                <w:noProof/>
                <w:webHidden/>
              </w:rPr>
              <w:instrText xml:space="preserve"> PAGEREF _Toc77166427 \h </w:instrText>
            </w:r>
            <w:r w:rsidR="00E219C7">
              <w:rPr>
                <w:noProof/>
                <w:webHidden/>
              </w:rPr>
            </w:r>
            <w:r w:rsidR="00E219C7">
              <w:rPr>
                <w:noProof/>
                <w:webHidden/>
              </w:rPr>
              <w:fldChar w:fldCharType="separate"/>
            </w:r>
            <w:r w:rsidR="00E219C7">
              <w:rPr>
                <w:noProof/>
                <w:webHidden/>
              </w:rPr>
              <w:t>2</w:t>
            </w:r>
            <w:r w:rsidR="00E219C7">
              <w:rPr>
                <w:noProof/>
                <w:webHidden/>
              </w:rPr>
              <w:fldChar w:fldCharType="end"/>
            </w:r>
          </w:hyperlink>
        </w:p>
        <w:p w14:paraId="62A91595" w14:textId="4529E060" w:rsidR="00E219C7" w:rsidRDefault="0078021E">
          <w:pPr>
            <w:pStyle w:val="TOC2"/>
            <w:tabs>
              <w:tab w:val="left" w:pos="660"/>
              <w:tab w:val="right" w:leader="dot" w:pos="10263"/>
            </w:tabs>
            <w:rPr>
              <w:rFonts w:asciiTheme="minorHAnsi" w:eastAsiaTheme="minorEastAsia" w:hAnsiTheme="minorHAnsi" w:cstheme="minorBidi"/>
              <w:noProof/>
              <w:color w:val="auto"/>
              <w:sz w:val="22"/>
            </w:rPr>
          </w:pPr>
          <w:hyperlink w:anchor="_Toc77166428" w:history="1">
            <w:r w:rsidR="00E219C7" w:rsidRPr="00D7103F">
              <w:rPr>
                <w:rStyle w:val="Hyperlink"/>
                <w:noProof/>
              </w:rPr>
              <w:t>3.</w:t>
            </w:r>
            <w:r w:rsidR="00E219C7">
              <w:rPr>
                <w:rFonts w:asciiTheme="minorHAnsi" w:eastAsiaTheme="minorEastAsia" w:hAnsiTheme="minorHAnsi" w:cstheme="minorBidi"/>
                <w:noProof/>
                <w:color w:val="auto"/>
                <w:sz w:val="22"/>
              </w:rPr>
              <w:tab/>
            </w:r>
            <w:r w:rsidR="00E219C7" w:rsidRPr="00D7103F">
              <w:rPr>
                <w:rStyle w:val="Hyperlink"/>
                <w:noProof/>
              </w:rPr>
              <w:t>INVESTMENT BELIEFS</w:t>
            </w:r>
            <w:r w:rsidR="00E219C7">
              <w:rPr>
                <w:noProof/>
                <w:webHidden/>
              </w:rPr>
              <w:tab/>
            </w:r>
            <w:r w:rsidR="00E219C7">
              <w:rPr>
                <w:noProof/>
                <w:webHidden/>
              </w:rPr>
              <w:fldChar w:fldCharType="begin"/>
            </w:r>
            <w:r w:rsidR="00E219C7">
              <w:rPr>
                <w:noProof/>
                <w:webHidden/>
              </w:rPr>
              <w:instrText xml:space="preserve"> PAGEREF _Toc77166428 \h </w:instrText>
            </w:r>
            <w:r w:rsidR="00E219C7">
              <w:rPr>
                <w:noProof/>
                <w:webHidden/>
              </w:rPr>
            </w:r>
            <w:r w:rsidR="00E219C7">
              <w:rPr>
                <w:noProof/>
                <w:webHidden/>
              </w:rPr>
              <w:fldChar w:fldCharType="separate"/>
            </w:r>
            <w:r w:rsidR="00E219C7">
              <w:rPr>
                <w:noProof/>
                <w:webHidden/>
              </w:rPr>
              <w:t>2</w:t>
            </w:r>
            <w:r w:rsidR="00E219C7">
              <w:rPr>
                <w:noProof/>
                <w:webHidden/>
              </w:rPr>
              <w:fldChar w:fldCharType="end"/>
            </w:r>
          </w:hyperlink>
        </w:p>
        <w:p w14:paraId="0BADCFB9" w14:textId="4D37C027" w:rsidR="00E219C7" w:rsidRDefault="0078021E">
          <w:pPr>
            <w:pStyle w:val="TOC2"/>
            <w:tabs>
              <w:tab w:val="left" w:pos="660"/>
              <w:tab w:val="right" w:leader="dot" w:pos="10263"/>
            </w:tabs>
            <w:rPr>
              <w:rFonts w:asciiTheme="minorHAnsi" w:eastAsiaTheme="minorEastAsia" w:hAnsiTheme="minorHAnsi" w:cstheme="minorBidi"/>
              <w:noProof/>
              <w:color w:val="auto"/>
              <w:sz w:val="22"/>
            </w:rPr>
          </w:pPr>
          <w:hyperlink w:anchor="_Toc77166429" w:history="1">
            <w:r w:rsidR="00E219C7" w:rsidRPr="00D7103F">
              <w:rPr>
                <w:rStyle w:val="Hyperlink"/>
                <w:noProof/>
              </w:rPr>
              <w:t>4.</w:t>
            </w:r>
            <w:r w:rsidR="00E219C7">
              <w:rPr>
                <w:rFonts w:asciiTheme="minorHAnsi" w:eastAsiaTheme="minorEastAsia" w:hAnsiTheme="minorHAnsi" w:cstheme="minorBidi"/>
                <w:noProof/>
                <w:color w:val="auto"/>
                <w:sz w:val="22"/>
              </w:rPr>
              <w:tab/>
            </w:r>
            <w:r w:rsidR="00E219C7" w:rsidRPr="00D7103F">
              <w:rPr>
                <w:rStyle w:val="Hyperlink"/>
                <w:noProof/>
              </w:rPr>
              <w:t>SELECTING A SUITABLE STRATEGY</w:t>
            </w:r>
            <w:r w:rsidR="00E219C7">
              <w:rPr>
                <w:noProof/>
                <w:webHidden/>
              </w:rPr>
              <w:tab/>
            </w:r>
            <w:r w:rsidR="00E219C7">
              <w:rPr>
                <w:noProof/>
                <w:webHidden/>
              </w:rPr>
              <w:fldChar w:fldCharType="begin"/>
            </w:r>
            <w:r w:rsidR="00E219C7">
              <w:rPr>
                <w:noProof/>
                <w:webHidden/>
              </w:rPr>
              <w:instrText xml:space="preserve"> PAGEREF _Toc77166429 \h </w:instrText>
            </w:r>
            <w:r w:rsidR="00E219C7">
              <w:rPr>
                <w:noProof/>
                <w:webHidden/>
              </w:rPr>
            </w:r>
            <w:r w:rsidR="00E219C7">
              <w:rPr>
                <w:noProof/>
                <w:webHidden/>
              </w:rPr>
              <w:fldChar w:fldCharType="separate"/>
            </w:r>
            <w:r w:rsidR="00E219C7">
              <w:rPr>
                <w:noProof/>
                <w:webHidden/>
              </w:rPr>
              <w:t>3</w:t>
            </w:r>
            <w:r w:rsidR="00E219C7">
              <w:rPr>
                <w:noProof/>
                <w:webHidden/>
              </w:rPr>
              <w:fldChar w:fldCharType="end"/>
            </w:r>
          </w:hyperlink>
        </w:p>
        <w:p w14:paraId="26069079" w14:textId="162E6A9A" w:rsidR="00E219C7" w:rsidRDefault="0078021E">
          <w:pPr>
            <w:pStyle w:val="TOC2"/>
            <w:tabs>
              <w:tab w:val="left" w:pos="660"/>
              <w:tab w:val="right" w:leader="dot" w:pos="10263"/>
            </w:tabs>
            <w:rPr>
              <w:rFonts w:asciiTheme="minorHAnsi" w:eastAsiaTheme="minorEastAsia" w:hAnsiTheme="minorHAnsi" w:cstheme="minorBidi"/>
              <w:noProof/>
              <w:color w:val="auto"/>
              <w:sz w:val="22"/>
            </w:rPr>
          </w:pPr>
          <w:hyperlink w:anchor="_Toc77166430" w:history="1">
            <w:r w:rsidR="00E219C7" w:rsidRPr="00D7103F">
              <w:rPr>
                <w:rStyle w:val="Hyperlink"/>
                <w:noProof/>
              </w:rPr>
              <w:t>5.</w:t>
            </w:r>
            <w:r w:rsidR="00E219C7">
              <w:rPr>
                <w:rFonts w:asciiTheme="minorHAnsi" w:eastAsiaTheme="minorEastAsia" w:hAnsiTheme="minorHAnsi" w:cstheme="minorBidi"/>
                <w:noProof/>
                <w:color w:val="auto"/>
                <w:sz w:val="22"/>
              </w:rPr>
              <w:tab/>
            </w:r>
            <w:r w:rsidR="00E219C7" w:rsidRPr="00D7103F">
              <w:rPr>
                <w:rStyle w:val="Hyperlink"/>
                <w:noProof/>
              </w:rPr>
              <w:t>RISKS</w:t>
            </w:r>
            <w:r w:rsidR="00E219C7">
              <w:rPr>
                <w:noProof/>
                <w:webHidden/>
              </w:rPr>
              <w:tab/>
            </w:r>
            <w:r w:rsidR="00E219C7">
              <w:rPr>
                <w:noProof/>
                <w:webHidden/>
              </w:rPr>
              <w:fldChar w:fldCharType="begin"/>
            </w:r>
            <w:r w:rsidR="00E219C7">
              <w:rPr>
                <w:noProof/>
                <w:webHidden/>
              </w:rPr>
              <w:instrText xml:space="preserve"> PAGEREF _Toc77166430 \h </w:instrText>
            </w:r>
            <w:r w:rsidR="00E219C7">
              <w:rPr>
                <w:noProof/>
                <w:webHidden/>
              </w:rPr>
            </w:r>
            <w:r w:rsidR="00E219C7">
              <w:rPr>
                <w:noProof/>
                <w:webHidden/>
              </w:rPr>
              <w:fldChar w:fldCharType="separate"/>
            </w:r>
            <w:r w:rsidR="00E219C7">
              <w:rPr>
                <w:noProof/>
                <w:webHidden/>
              </w:rPr>
              <w:t>4</w:t>
            </w:r>
            <w:r w:rsidR="00E219C7">
              <w:rPr>
                <w:noProof/>
                <w:webHidden/>
              </w:rPr>
              <w:fldChar w:fldCharType="end"/>
            </w:r>
          </w:hyperlink>
        </w:p>
        <w:p w14:paraId="64E1487F" w14:textId="78CF620B" w:rsidR="00E219C7" w:rsidRDefault="0078021E">
          <w:pPr>
            <w:pStyle w:val="TOC3"/>
            <w:tabs>
              <w:tab w:val="left" w:pos="1100"/>
              <w:tab w:val="right" w:leader="dot" w:pos="10263"/>
            </w:tabs>
            <w:rPr>
              <w:rFonts w:asciiTheme="minorHAnsi" w:eastAsiaTheme="minorEastAsia" w:hAnsiTheme="minorHAnsi" w:cstheme="minorBidi"/>
              <w:noProof/>
              <w:color w:val="auto"/>
              <w:sz w:val="22"/>
            </w:rPr>
          </w:pPr>
          <w:hyperlink w:anchor="_Toc77166431" w:history="1">
            <w:r w:rsidR="00E219C7" w:rsidRPr="00D7103F">
              <w:rPr>
                <w:rStyle w:val="Hyperlink"/>
                <w:noProof/>
              </w:rPr>
              <w:t>A.</w:t>
            </w:r>
            <w:r w:rsidR="00E219C7">
              <w:rPr>
                <w:rFonts w:asciiTheme="minorHAnsi" w:eastAsiaTheme="minorEastAsia" w:hAnsiTheme="minorHAnsi" w:cstheme="minorBidi"/>
                <w:noProof/>
                <w:color w:val="auto"/>
                <w:sz w:val="22"/>
              </w:rPr>
              <w:tab/>
            </w:r>
            <w:r w:rsidR="00E219C7" w:rsidRPr="00D7103F">
              <w:rPr>
                <w:rStyle w:val="Hyperlink"/>
                <w:noProof/>
              </w:rPr>
              <w:t>INVESTMENT RISKS</w:t>
            </w:r>
            <w:r w:rsidR="00E219C7">
              <w:rPr>
                <w:noProof/>
                <w:webHidden/>
              </w:rPr>
              <w:tab/>
            </w:r>
            <w:r w:rsidR="00E219C7">
              <w:rPr>
                <w:noProof/>
                <w:webHidden/>
              </w:rPr>
              <w:fldChar w:fldCharType="begin"/>
            </w:r>
            <w:r w:rsidR="00E219C7">
              <w:rPr>
                <w:noProof/>
                <w:webHidden/>
              </w:rPr>
              <w:instrText xml:space="preserve"> PAGEREF _Toc77166431 \h </w:instrText>
            </w:r>
            <w:r w:rsidR="00E219C7">
              <w:rPr>
                <w:noProof/>
                <w:webHidden/>
              </w:rPr>
            </w:r>
            <w:r w:rsidR="00E219C7">
              <w:rPr>
                <w:noProof/>
                <w:webHidden/>
              </w:rPr>
              <w:fldChar w:fldCharType="separate"/>
            </w:r>
            <w:r w:rsidR="00E219C7">
              <w:rPr>
                <w:noProof/>
                <w:webHidden/>
              </w:rPr>
              <w:t>4</w:t>
            </w:r>
            <w:r w:rsidR="00E219C7">
              <w:rPr>
                <w:noProof/>
                <w:webHidden/>
              </w:rPr>
              <w:fldChar w:fldCharType="end"/>
            </w:r>
          </w:hyperlink>
        </w:p>
        <w:p w14:paraId="31A72879" w14:textId="24F64633" w:rsidR="00E219C7" w:rsidRDefault="0078021E">
          <w:pPr>
            <w:pStyle w:val="TOC3"/>
            <w:tabs>
              <w:tab w:val="left" w:pos="1100"/>
              <w:tab w:val="right" w:leader="dot" w:pos="10263"/>
            </w:tabs>
            <w:rPr>
              <w:rFonts w:asciiTheme="minorHAnsi" w:eastAsiaTheme="minorEastAsia" w:hAnsiTheme="minorHAnsi" w:cstheme="minorBidi"/>
              <w:noProof/>
              <w:color w:val="auto"/>
              <w:sz w:val="22"/>
            </w:rPr>
          </w:pPr>
          <w:hyperlink w:anchor="_Toc77166432" w:history="1">
            <w:r w:rsidR="00E219C7" w:rsidRPr="00D7103F">
              <w:rPr>
                <w:rStyle w:val="Hyperlink"/>
                <w:noProof/>
              </w:rPr>
              <w:t>B.</w:t>
            </w:r>
            <w:r w:rsidR="00E219C7">
              <w:rPr>
                <w:rFonts w:asciiTheme="minorHAnsi" w:eastAsiaTheme="minorEastAsia" w:hAnsiTheme="minorHAnsi" w:cstheme="minorBidi"/>
                <w:noProof/>
                <w:color w:val="auto"/>
                <w:sz w:val="22"/>
              </w:rPr>
              <w:tab/>
            </w:r>
            <w:r w:rsidR="00E219C7" w:rsidRPr="00D7103F">
              <w:rPr>
                <w:rStyle w:val="Hyperlink"/>
                <w:noProof/>
              </w:rPr>
              <w:t>DEMOGRAPHIC RISK</w:t>
            </w:r>
            <w:r w:rsidR="00E219C7">
              <w:rPr>
                <w:noProof/>
                <w:webHidden/>
              </w:rPr>
              <w:tab/>
            </w:r>
            <w:r w:rsidR="00E219C7">
              <w:rPr>
                <w:noProof/>
                <w:webHidden/>
              </w:rPr>
              <w:fldChar w:fldCharType="begin"/>
            </w:r>
            <w:r w:rsidR="00E219C7">
              <w:rPr>
                <w:noProof/>
                <w:webHidden/>
              </w:rPr>
              <w:instrText xml:space="preserve"> PAGEREF _Toc77166432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74C878DB" w14:textId="4B55242C" w:rsidR="00E219C7" w:rsidRDefault="0078021E">
          <w:pPr>
            <w:pStyle w:val="TOC3"/>
            <w:tabs>
              <w:tab w:val="left" w:pos="1100"/>
              <w:tab w:val="right" w:leader="dot" w:pos="10263"/>
            </w:tabs>
            <w:rPr>
              <w:rFonts w:asciiTheme="minorHAnsi" w:eastAsiaTheme="minorEastAsia" w:hAnsiTheme="minorHAnsi" w:cstheme="minorBidi"/>
              <w:noProof/>
              <w:color w:val="auto"/>
              <w:sz w:val="22"/>
            </w:rPr>
          </w:pPr>
          <w:hyperlink w:anchor="_Toc77166433" w:history="1">
            <w:r w:rsidR="00E219C7" w:rsidRPr="00D7103F">
              <w:rPr>
                <w:rStyle w:val="Hyperlink"/>
                <w:noProof/>
              </w:rPr>
              <w:t>C.</w:t>
            </w:r>
            <w:r w:rsidR="00E219C7">
              <w:rPr>
                <w:rFonts w:asciiTheme="minorHAnsi" w:eastAsiaTheme="minorEastAsia" w:hAnsiTheme="minorHAnsi" w:cstheme="minorBidi"/>
                <w:noProof/>
                <w:color w:val="auto"/>
                <w:sz w:val="22"/>
              </w:rPr>
              <w:tab/>
            </w:r>
            <w:r w:rsidR="00E219C7" w:rsidRPr="00D7103F">
              <w:rPr>
                <w:rStyle w:val="Hyperlink"/>
                <w:noProof/>
              </w:rPr>
              <w:t>CASHFLOW MANAGEMENT RISKS</w:t>
            </w:r>
            <w:r w:rsidR="00E219C7">
              <w:rPr>
                <w:noProof/>
                <w:webHidden/>
              </w:rPr>
              <w:tab/>
            </w:r>
            <w:r w:rsidR="00E219C7">
              <w:rPr>
                <w:noProof/>
                <w:webHidden/>
              </w:rPr>
              <w:fldChar w:fldCharType="begin"/>
            </w:r>
            <w:r w:rsidR="00E219C7">
              <w:rPr>
                <w:noProof/>
                <w:webHidden/>
              </w:rPr>
              <w:instrText xml:space="preserve"> PAGEREF _Toc77166433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49D14DAA" w14:textId="16C16DCD" w:rsidR="00E219C7" w:rsidRDefault="0078021E">
          <w:pPr>
            <w:pStyle w:val="TOC3"/>
            <w:tabs>
              <w:tab w:val="left" w:pos="1100"/>
              <w:tab w:val="right" w:leader="dot" w:pos="10263"/>
            </w:tabs>
            <w:rPr>
              <w:rFonts w:asciiTheme="minorHAnsi" w:eastAsiaTheme="minorEastAsia" w:hAnsiTheme="minorHAnsi" w:cstheme="minorBidi"/>
              <w:noProof/>
              <w:color w:val="auto"/>
              <w:sz w:val="22"/>
            </w:rPr>
          </w:pPr>
          <w:hyperlink w:anchor="_Toc77166434" w:history="1">
            <w:r w:rsidR="00E219C7" w:rsidRPr="00D7103F">
              <w:rPr>
                <w:rStyle w:val="Hyperlink"/>
                <w:noProof/>
              </w:rPr>
              <w:t>D.</w:t>
            </w:r>
            <w:r w:rsidR="00E219C7">
              <w:rPr>
                <w:rFonts w:asciiTheme="minorHAnsi" w:eastAsiaTheme="minorEastAsia" w:hAnsiTheme="minorHAnsi" w:cstheme="minorBidi"/>
                <w:noProof/>
                <w:color w:val="auto"/>
                <w:sz w:val="22"/>
              </w:rPr>
              <w:tab/>
            </w:r>
            <w:r w:rsidR="00E219C7" w:rsidRPr="00D7103F">
              <w:rPr>
                <w:rStyle w:val="Hyperlink"/>
                <w:noProof/>
              </w:rPr>
              <w:t>GOVERNANCE RISKS</w:t>
            </w:r>
            <w:r w:rsidR="00E219C7">
              <w:rPr>
                <w:noProof/>
                <w:webHidden/>
              </w:rPr>
              <w:tab/>
            </w:r>
            <w:r w:rsidR="00E219C7">
              <w:rPr>
                <w:noProof/>
                <w:webHidden/>
              </w:rPr>
              <w:fldChar w:fldCharType="begin"/>
            </w:r>
            <w:r w:rsidR="00E219C7">
              <w:rPr>
                <w:noProof/>
                <w:webHidden/>
              </w:rPr>
              <w:instrText xml:space="preserve"> PAGEREF _Toc77166434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7D9D4001" w14:textId="61885EE6" w:rsidR="00E219C7" w:rsidRDefault="0078021E">
          <w:pPr>
            <w:pStyle w:val="TOC2"/>
            <w:tabs>
              <w:tab w:val="left" w:pos="660"/>
              <w:tab w:val="right" w:leader="dot" w:pos="10263"/>
            </w:tabs>
            <w:rPr>
              <w:rFonts w:asciiTheme="minorHAnsi" w:eastAsiaTheme="minorEastAsia" w:hAnsiTheme="minorHAnsi" w:cstheme="minorBidi"/>
              <w:noProof/>
              <w:color w:val="auto"/>
              <w:sz w:val="22"/>
            </w:rPr>
          </w:pPr>
          <w:hyperlink w:anchor="_Toc77166435" w:history="1">
            <w:r w:rsidR="00E219C7" w:rsidRPr="00D7103F">
              <w:rPr>
                <w:rStyle w:val="Hyperlink"/>
                <w:noProof/>
              </w:rPr>
              <w:t>6.</w:t>
            </w:r>
            <w:r w:rsidR="00E219C7">
              <w:rPr>
                <w:rFonts w:asciiTheme="minorHAnsi" w:eastAsiaTheme="minorEastAsia" w:hAnsiTheme="minorHAnsi" w:cstheme="minorBidi"/>
                <w:noProof/>
                <w:color w:val="auto"/>
                <w:sz w:val="22"/>
              </w:rPr>
              <w:tab/>
            </w:r>
            <w:r w:rsidR="00E219C7" w:rsidRPr="00D7103F">
              <w:rPr>
                <w:rStyle w:val="Hyperlink"/>
                <w:noProof/>
              </w:rPr>
              <w:t>INVESTMENT OF MONEY IN A WIDE VARIETY OF INVESTMENTS</w:t>
            </w:r>
            <w:r w:rsidR="00E219C7">
              <w:rPr>
                <w:noProof/>
                <w:webHidden/>
              </w:rPr>
              <w:tab/>
            </w:r>
            <w:r w:rsidR="00E219C7">
              <w:rPr>
                <w:noProof/>
                <w:webHidden/>
              </w:rPr>
              <w:fldChar w:fldCharType="begin"/>
            </w:r>
            <w:r w:rsidR="00E219C7">
              <w:rPr>
                <w:noProof/>
                <w:webHidden/>
              </w:rPr>
              <w:instrText xml:space="preserve"> PAGEREF _Toc77166435 \h </w:instrText>
            </w:r>
            <w:r w:rsidR="00E219C7">
              <w:rPr>
                <w:noProof/>
                <w:webHidden/>
              </w:rPr>
            </w:r>
            <w:r w:rsidR="00E219C7">
              <w:rPr>
                <w:noProof/>
                <w:webHidden/>
              </w:rPr>
              <w:fldChar w:fldCharType="separate"/>
            </w:r>
            <w:r w:rsidR="00E219C7">
              <w:rPr>
                <w:noProof/>
                <w:webHidden/>
              </w:rPr>
              <w:t>7</w:t>
            </w:r>
            <w:r w:rsidR="00E219C7">
              <w:rPr>
                <w:noProof/>
                <w:webHidden/>
              </w:rPr>
              <w:fldChar w:fldCharType="end"/>
            </w:r>
          </w:hyperlink>
        </w:p>
        <w:p w14:paraId="14AD70FC" w14:textId="581C6864" w:rsidR="00E219C7" w:rsidRDefault="0078021E">
          <w:pPr>
            <w:pStyle w:val="TOC3"/>
            <w:tabs>
              <w:tab w:val="right" w:leader="dot" w:pos="10263"/>
            </w:tabs>
            <w:rPr>
              <w:rFonts w:asciiTheme="minorHAnsi" w:eastAsiaTheme="minorEastAsia" w:hAnsiTheme="minorHAnsi" w:cstheme="minorBidi"/>
              <w:noProof/>
              <w:color w:val="auto"/>
              <w:sz w:val="22"/>
            </w:rPr>
          </w:pPr>
          <w:hyperlink w:anchor="_Toc77166436" w:history="1">
            <w:r w:rsidR="00E219C7" w:rsidRPr="00D7103F">
              <w:rPr>
                <w:rStyle w:val="Hyperlink"/>
                <w:noProof/>
              </w:rPr>
              <w:t>ASSET CLASSES</w:t>
            </w:r>
            <w:r w:rsidR="00E219C7">
              <w:rPr>
                <w:noProof/>
                <w:webHidden/>
              </w:rPr>
              <w:tab/>
            </w:r>
            <w:r w:rsidR="00E219C7">
              <w:rPr>
                <w:noProof/>
                <w:webHidden/>
              </w:rPr>
              <w:fldChar w:fldCharType="begin"/>
            </w:r>
            <w:r w:rsidR="00E219C7">
              <w:rPr>
                <w:noProof/>
                <w:webHidden/>
              </w:rPr>
              <w:instrText xml:space="preserve"> PAGEREF _Toc77166436 \h </w:instrText>
            </w:r>
            <w:r w:rsidR="00E219C7">
              <w:rPr>
                <w:noProof/>
                <w:webHidden/>
              </w:rPr>
            </w:r>
            <w:r w:rsidR="00E219C7">
              <w:rPr>
                <w:noProof/>
                <w:webHidden/>
              </w:rPr>
              <w:fldChar w:fldCharType="separate"/>
            </w:r>
            <w:r w:rsidR="00E219C7">
              <w:rPr>
                <w:noProof/>
                <w:webHidden/>
              </w:rPr>
              <w:t>7</w:t>
            </w:r>
            <w:r w:rsidR="00E219C7">
              <w:rPr>
                <w:noProof/>
                <w:webHidden/>
              </w:rPr>
              <w:fldChar w:fldCharType="end"/>
            </w:r>
          </w:hyperlink>
        </w:p>
        <w:p w14:paraId="5CD42885" w14:textId="73D42202" w:rsidR="00E219C7" w:rsidRDefault="0078021E">
          <w:pPr>
            <w:pStyle w:val="TOC2"/>
            <w:tabs>
              <w:tab w:val="left" w:pos="660"/>
              <w:tab w:val="right" w:leader="dot" w:pos="10263"/>
            </w:tabs>
            <w:rPr>
              <w:rFonts w:asciiTheme="minorHAnsi" w:eastAsiaTheme="minorEastAsia" w:hAnsiTheme="minorHAnsi" w:cstheme="minorBidi"/>
              <w:noProof/>
              <w:color w:val="auto"/>
              <w:sz w:val="22"/>
            </w:rPr>
          </w:pPr>
          <w:hyperlink w:anchor="_Toc77166437" w:history="1">
            <w:r w:rsidR="00E219C7" w:rsidRPr="00D7103F">
              <w:rPr>
                <w:rStyle w:val="Hyperlink"/>
                <w:noProof/>
              </w:rPr>
              <w:t>7.</w:t>
            </w:r>
            <w:r w:rsidR="00E219C7">
              <w:rPr>
                <w:rFonts w:asciiTheme="minorHAnsi" w:eastAsiaTheme="minorEastAsia" w:hAnsiTheme="minorHAnsi" w:cstheme="minorBidi"/>
                <w:noProof/>
                <w:color w:val="auto"/>
                <w:sz w:val="22"/>
              </w:rPr>
              <w:tab/>
            </w:r>
            <w:r w:rsidR="00E219C7" w:rsidRPr="00D7103F">
              <w:rPr>
                <w:rStyle w:val="Hyperlink"/>
                <w:noProof/>
              </w:rPr>
              <w:t>ASSET POOLING</w:t>
            </w:r>
            <w:r w:rsidR="00E219C7">
              <w:rPr>
                <w:noProof/>
                <w:webHidden/>
              </w:rPr>
              <w:tab/>
            </w:r>
            <w:r w:rsidR="00E219C7">
              <w:rPr>
                <w:noProof/>
                <w:webHidden/>
              </w:rPr>
              <w:fldChar w:fldCharType="begin"/>
            </w:r>
            <w:r w:rsidR="00E219C7">
              <w:rPr>
                <w:noProof/>
                <w:webHidden/>
              </w:rPr>
              <w:instrText xml:space="preserve"> PAGEREF _Toc77166437 \h </w:instrText>
            </w:r>
            <w:r w:rsidR="00E219C7">
              <w:rPr>
                <w:noProof/>
                <w:webHidden/>
              </w:rPr>
            </w:r>
            <w:r w:rsidR="00E219C7">
              <w:rPr>
                <w:noProof/>
                <w:webHidden/>
              </w:rPr>
              <w:fldChar w:fldCharType="separate"/>
            </w:r>
            <w:r w:rsidR="00E219C7">
              <w:rPr>
                <w:noProof/>
                <w:webHidden/>
              </w:rPr>
              <w:t>9</w:t>
            </w:r>
            <w:r w:rsidR="00E219C7">
              <w:rPr>
                <w:noProof/>
                <w:webHidden/>
              </w:rPr>
              <w:fldChar w:fldCharType="end"/>
            </w:r>
          </w:hyperlink>
        </w:p>
        <w:p w14:paraId="52236044" w14:textId="205AEDC3" w:rsidR="00E219C7" w:rsidRDefault="0078021E">
          <w:pPr>
            <w:pStyle w:val="TOC2"/>
            <w:tabs>
              <w:tab w:val="left" w:pos="660"/>
              <w:tab w:val="right" w:leader="dot" w:pos="10263"/>
            </w:tabs>
            <w:rPr>
              <w:rFonts w:asciiTheme="minorHAnsi" w:eastAsiaTheme="minorEastAsia" w:hAnsiTheme="minorHAnsi" w:cstheme="minorBidi"/>
              <w:noProof/>
              <w:color w:val="auto"/>
              <w:sz w:val="22"/>
            </w:rPr>
          </w:pPr>
          <w:hyperlink w:anchor="_Toc77166438" w:history="1">
            <w:r w:rsidR="00E219C7" w:rsidRPr="00D7103F">
              <w:rPr>
                <w:rStyle w:val="Hyperlink"/>
                <w:noProof/>
              </w:rPr>
              <w:t>8.</w:t>
            </w:r>
            <w:r w:rsidR="00E219C7">
              <w:rPr>
                <w:rFonts w:asciiTheme="minorHAnsi" w:eastAsiaTheme="minorEastAsia" w:hAnsiTheme="minorHAnsi" w:cstheme="minorBidi"/>
                <w:noProof/>
                <w:color w:val="auto"/>
                <w:sz w:val="22"/>
              </w:rPr>
              <w:tab/>
            </w:r>
            <w:r w:rsidR="00E219C7" w:rsidRPr="00D7103F">
              <w:rPr>
                <w:rStyle w:val="Hyperlink"/>
                <w:noProof/>
              </w:rPr>
              <w:t>RESPONSIBLE INVESTMENT POLICY</w:t>
            </w:r>
            <w:r w:rsidR="00E219C7">
              <w:rPr>
                <w:noProof/>
                <w:webHidden/>
              </w:rPr>
              <w:tab/>
            </w:r>
            <w:r w:rsidR="00E219C7">
              <w:rPr>
                <w:noProof/>
                <w:webHidden/>
              </w:rPr>
              <w:fldChar w:fldCharType="begin"/>
            </w:r>
            <w:r w:rsidR="00E219C7">
              <w:rPr>
                <w:noProof/>
                <w:webHidden/>
              </w:rPr>
              <w:instrText xml:space="preserve"> PAGEREF _Toc77166438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3230E466" w14:textId="299C04FB" w:rsidR="00E219C7" w:rsidRDefault="0078021E">
          <w:pPr>
            <w:pStyle w:val="TOC3"/>
            <w:tabs>
              <w:tab w:val="left" w:pos="1100"/>
              <w:tab w:val="right" w:leader="dot" w:pos="10263"/>
            </w:tabs>
            <w:rPr>
              <w:rFonts w:asciiTheme="minorHAnsi" w:eastAsiaTheme="minorEastAsia" w:hAnsiTheme="minorHAnsi" w:cstheme="minorBidi"/>
              <w:noProof/>
              <w:color w:val="auto"/>
              <w:sz w:val="22"/>
            </w:rPr>
          </w:pPr>
          <w:hyperlink w:anchor="_Toc77166439" w:history="1">
            <w:r w:rsidR="00E219C7" w:rsidRPr="00D7103F">
              <w:rPr>
                <w:rStyle w:val="Hyperlink"/>
                <w:rFonts w:eastAsia="Times New Roman"/>
                <w:noProof/>
              </w:rPr>
              <w:t>A.</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INVESTING</w:t>
            </w:r>
            <w:r w:rsidR="00E219C7">
              <w:rPr>
                <w:noProof/>
                <w:webHidden/>
              </w:rPr>
              <w:tab/>
            </w:r>
            <w:r w:rsidR="00E219C7">
              <w:rPr>
                <w:noProof/>
                <w:webHidden/>
              </w:rPr>
              <w:fldChar w:fldCharType="begin"/>
            </w:r>
            <w:r w:rsidR="00E219C7">
              <w:rPr>
                <w:noProof/>
                <w:webHidden/>
              </w:rPr>
              <w:instrText xml:space="preserve"> PAGEREF _Toc77166439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18B6F2C6" w14:textId="51C67BAF" w:rsidR="00E219C7" w:rsidRDefault="0078021E">
          <w:pPr>
            <w:pStyle w:val="TOC3"/>
            <w:tabs>
              <w:tab w:val="left" w:pos="1100"/>
              <w:tab w:val="right" w:leader="dot" w:pos="10263"/>
            </w:tabs>
            <w:rPr>
              <w:rFonts w:asciiTheme="minorHAnsi" w:eastAsiaTheme="minorEastAsia" w:hAnsiTheme="minorHAnsi" w:cstheme="minorBidi"/>
              <w:noProof/>
              <w:color w:val="auto"/>
              <w:sz w:val="22"/>
            </w:rPr>
          </w:pPr>
          <w:hyperlink w:anchor="_Toc77166440" w:history="1">
            <w:r w:rsidR="00E219C7" w:rsidRPr="00D7103F">
              <w:rPr>
                <w:rStyle w:val="Hyperlink"/>
                <w:rFonts w:eastAsia="Times New Roman"/>
                <w:noProof/>
              </w:rPr>
              <w:t>B.</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INVESTMENT BELIEFS</w:t>
            </w:r>
            <w:r w:rsidR="00E219C7">
              <w:rPr>
                <w:noProof/>
                <w:webHidden/>
              </w:rPr>
              <w:tab/>
            </w:r>
            <w:r w:rsidR="00E219C7">
              <w:rPr>
                <w:noProof/>
                <w:webHidden/>
              </w:rPr>
              <w:fldChar w:fldCharType="begin"/>
            </w:r>
            <w:r w:rsidR="00E219C7">
              <w:rPr>
                <w:noProof/>
                <w:webHidden/>
              </w:rPr>
              <w:instrText xml:space="preserve"> PAGEREF _Toc77166440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3D8C67FA" w14:textId="01CD9A09" w:rsidR="00E219C7" w:rsidRDefault="0078021E">
          <w:pPr>
            <w:pStyle w:val="TOC3"/>
            <w:tabs>
              <w:tab w:val="left" w:pos="1100"/>
              <w:tab w:val="right" w:leader="dot" w:pos="10263"/>
            </w:tabs>
            <w:rPr>
              <w:rFonts w:asciiTheme="minorHAnsi" w:eastAsiaTheme="minorEastAsia" w:hAnsiTheme="minorHAnsi" w:cstheme="minorBidi"/>
              <w:noProof/>
              <w:color w:val="auto"/>
              <w:sz w:val="22"/>
            </w:rPr>
          </w:pPr>
          <w:hyperlink w:anchor="_Toc77166441" w:history="1">
            <w:r w:rsidR="00E219C7" w:rsidRPr="00D7103F">
              <w:rPr>
                <w:rStyle w:val="Hyperlink"/>
                <w:rFonts w:eastAsia="Times New Roman"/>
                <w:noProof/>
              </w:rPr>
              <w:t>C.</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INVESTMENT POLICY</w:t>
            </w:r>
            <w:r w:rsidR="00E219C7">
              <w:rPr>
                <w:noProof/>
                <w:webHidden/>
              </w:rPr>
              <w:tab/>
            </w:r>
            <w:r w:rsidR="00E219C7">
              <w:rPr>
                <w:noProof/>
                <w:webHidden/>
              </w:rPr>
              <w:fldChar w:fldCharType="begin"/>
            </w:r>
            <w:r w:rsidR="00E219C7">
              <w:rPr>
                <w:noProof/>
                <w:webHidden/>
              </w:rPr>
              <w:instrText xml:space="preserve"> PAGEREF _Toc77166441 \h </w:instrText>
            </w:r>
            <w:r w:rsidR="00E219C7">
              <w:rPr>
                <w:noProof/>
                <w:webHidden/>
              </w:rPr>
            </w:r>
            <w:r w:rsidR="00E219C7">
              <w:rPr>
                <w:noProof/>
                <w:webHidden/>
              </w:rPr>
              <w:fldChar w:fldCharType="separate"/>
            </w:r>
            <w:r w:rsidR="00E219C7">
              <w:rPr>
                <w:noProof/>
                <w:webHidden/>
              </w:rPr>
              <w:t>12</w:t>
            </w:r>
            <w:r w:rsidR="00E219C7">
              <w:rPr>
                <w:noProof/>
                <w:webHidden/>
              </w:rPr>
              <w:fldChar w:fldCharType="end"/>
            </w:r>
          </w:hyperlink>
        </w:p>
        <w:p w14:paraId="4E7DB7B0" w14:textId="223905E3" w:rsidR="00E219C7" w:rsidRDefault="0078021E">
          <w:pPr>
            <w:pStyle w:val="TOC3"/>
            <w:tabs>
              <w:tab w:val="left" w:pos="1100"/>
              <w:tab w:val="right" w:leader="dot" w:pos="10263"/>
            </w:tabs>
            <w:rPr>
              <w:rFonts w:asciiTheme="minorHAnsi" w:eastAsiaTheme="minorEastAsia" w:hAnsiTheme="minorHAnsi" w:cstheme="minorBidi"/>
              <w:noProof/>
              <w:color w:val="auto"/>
              <w:sz w:val="22"/>
            </w:rPr>
          </w:pPr>
          <w:hyperlink w:anchor="_Toc77166442" w:history="1">
            <w:r w:rsidR="00E219C7" w:rsidRPr="00D7103F">
              <w:rPr>
                <w:rStyle w:val="Hyperlink"/>
                <w:rFonts w:eastAsia="Times New Roman"/>
                <w:noProof/>
              </w:rPr>
              <w:t>D.</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IMPLEMENTATION</w:t>
            </w:r>
            <w:r w:rsidR="00E219C7">
              <w:rPr>
                <w:noProof/>
                <w:webHidden/>
              </w:rPr>
              <w:tab/>
            </w:r>
            <w:r w:rsidR="00E219C7">
              <w:rPr>
                <w:noProof/>
                <w:webHidden/>
              </w:rPr>
              <w:fldChar w:fldCharType="begin"/>
            </w:r>
            <w:r w:rsidR="00E219C7">
              <w:rPr>
                <w:noProof/>
                <w:webHidden/>
              </w:rPr>
              <w:instrText xml:space="preserve"> PAGEREF _Toc77166442 \h </w:instrText>
            </w:r>
            <w:r w:rsidR="00E219C7">
              <w:rPr>
                <w:noProof/>
                <w:webHidden/>
              </w:rPr>
            </w:r>
            <w:r w:rsidR="00E219C7">
              <w:rPr>
                <w:noProof/>
                <w:webHidden/>
              </w:rPr>
              <w:fldChar w:fldCharType="separate"/>
            </w:r>
            <w:r w:rsidR="00E219C7">
              <w:rPr>
                <w:noProof/>
                <w:webHidden/>
              </w:rPr>
              <w:t>13</w:t>
            </w:r>
            <w:r w:rsidR="00E219C7">
              <w:rPr>
                <w:noProof/>
                <w:webHidden/>
              </w:rPr>
              <w:fldChar w:fldCharType="end"/>
            </w:r>
          </w:hyperlink>
        </w:p>
        <w:p w14:paraId="47FCBAEC" w14:textId="5ED277C3" w:rsidR="00E219C7" w:rsidRDefault="0078021E">
          <w:pPr>
            <w:pStyle w:val="TOC3"/>
            <w:tabs>
              <w:tab w:val="left" w:pos="1100"/>
              <w:tab w:val="right" w:leader="dot" w:pos="10263"/>
            </w:tabs>
            <w:rPr>
              <w:rFonts w:asciiTheme="minorHAnsi" w:eastAsiaTheme="minorEastAsia" w:hAnsiTheme="minorHAnsi" w:cstheme="minorBidi"/>
              <w:noProof/>
              <w:color w:val="auto"/>
              <w:sz w:val="22"/>
            </w:rPr>
          </w:pPr>
          <w:hyperlink w:anchor="_Toc77166443" w:history="1">
            <w:r w:rsidR="00E219C7" w:rsidRPr="00D7103F">
              <w:rPr>
                <w:rStyle w:val="Hyperlink"/>
                <w:rFonts w:eastAsia="Times New Roman"/>
                <w:noProof/>
              </w:rPr>
              <w:t>E.</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MONITORING AND REPORTING PROGRESS</w:t>
            </w:r>
            <w:r w:rsidR="00E219C7">
              <w:rPr>
                <w:noProof/>
                <w:webHidden/>
              </w:rPr>
              <w:tab/>
            </w:r>
            <w:r w:rsidR="00E219C7">
              <w:rPr>
                <w:noProof/>
                <w:webHidden/>
              </w:rPr>
              <w:fldChar w:fldCharType="begin"/>
            </w:r>
            <w:r w:rsidR="00E219C7">
              <w:rPr>
                <w:noProof/>
                <w:webHidden/>
              </w:rPr>
              <w:instrText xml:space="preserve"> PAGEREF _Toc77166443 \h </w:instrText>
            </w:r>
            <w:r w:rsidR="00E219C7">
              <w:rPr>
                <w:noProof/>
                <w:webHidden/>
              </w:rPr>
            </w:r>
            <w:r w:rsidR="00E219C7">
              <w:rPr>
                <w:noProof/>
                <w:webHidden/>
              </w:rPr>
              <w:fldChar w:fldCharType="separate"/>
            </w:r>
            <w:r w:rsidR="00E219C7">
              <w:rPr>
                <w:noProof/>
                <w:webHidden/>
              </w:rPr>
              <w:t>15</w:t>
            </w:r>
            <w:r w:rsidR="00E219C7">
              <w:rPr>
                <w:noProof/>
                <w:webHidden/>
              </w:rPr>
              <w:fldChar w:fldCharType="end"/>
            </w:r>
          </w:hyperlink>
        </w:p>
        <w:p w14:paraId="65DB4AC6" w14:textId="62A40F23" w:rsidR="00F258E8" w:rsidRDefault="00F258E8">
          <w:r>
            <w:rPr>
              <w:b/>
              <w:bCs/>
              <w:noProof/>
            </w:rPr>
            <w:fldChar w:fldCharType="end"/>
          </w:r>
        </w:p>
      </w:sdtContent>
    </w:sdt>
    <w:p w14:paraId="360D4493" w14:textId="17241F13" w:rsidR="006B3163" w:rsidRPr="00E230F1" w:rsidRDefault="001A533D" w:rsidP="00E230F1">
      <w:pPr>
        <w:pStyle w:val="Heading2"/>
        <w:numPr>
          <w:ilvl w:val="0"/>
          <w:numId w:val="12"/>
        </w:numPr>
        <w:spacing w:after="120" w:line="259" w:lineRule="auto"/>
        <w:rPr>
          <w:color w:val="auto"/>
        </w:rPr>
      </w:pPr>
      <w:bookmarkStart w:id="0" w:name="_Toc63926297"/>
      <w:bookmarkStart w:id="1" w:name="_Toc63926349"/>
      <w:bookmarkStart w:id="2" w:name="_Toc77166426"/>
      <w:bookmarkEnd w:id="0"/>
      <w:bookmarkEnd w:id="1"/>
      <w:r w:rsidRPr="00E230F1">
        <w:rPr>
          <w:rFonts w:ascii="Arial" w:hAnsi="Arial" w:cs="Arial"/>
          <w:color w:val="auto"/>
        </w:rPr>
        <w:t>INTRODUCTION AND BACKGROUND</w:t>
      </w:r>
      <w:bookmarkEnd w:id="2"/>
      <w:r w:rsidRPr="00E230F1">
        <w:rPr>
          <w:rFonts w:ascii="Arial" w:hAnsi="Arial" w:cs="Arial"/>
          <w:color w:val="auto"/>
        </w:rPr>
        <w:t xml:space="preserve">  </w:t>
      </w:r>
    </w:p>
    <w:p w14:paraId="360D4494" w14:textId="594A270F" w:rsidR="006B3163" w:rsidRDefault="00027CC4">
      <w:pPr>
        <w:spacing w:after="32"/>
        <w:ind w:left="9" w:right="198"/>
      </w:pPr>
      <w:r>
        <w:t xml:space="preserve">This is the Investment Strategy Statement (“ISS”) of the </w:t>
      </w:r>
      <w:r w:rsidR="00E80582">
        <w:t xml:space="preserve">Northamptonshire </w:t>
      </w:r>
      <w:r>
        <w:t xml:space="preserve">Pension </w:t>
      </w:r>
    </w:p>
    <w:p w14:paraId="2F86BD4D" w14:textId="7D94AAA2" w:rsidR="001D1B1D" w:rsidRDefault="00027CC4" w:rsidP="002D4983">
      <w:pPr>
        <w:spacing w:after="25"/>
        <w:ind w:left="9" w:right="198"/>
      </w:pPr>
      <w:r>
        <w:t>Fund (</w:t>
      </w:r>
      <w:r w:rsidR="00516AC0">
        <w:t>“the Fund”</w:t>
      </w:r>
      <w:r>
        <w:t xml:space="preserve">), which is administered by </w:t>
      </w:r>
      <w:r w:rsidR="00E80582">
        <w:t xml:space="preserve">West Northamptonshire </w:t>
      </w:r>
      <w:r>
        <w:t xml:space="preserve">Council, (“the Administering Authority”). </w:t>
      </w:r>
      <w:r w:rsidR="00BF7C09">
        <w:t>The Administering Authority has delegated to the</w:t>
      </w:r>
      <w:r w:rsidR="001D1B1D">
        <w:t xml:space="preserve"> Pension</w:t>
      </w:r>
      <w:r w:rsidR="00E80582">
        <w:t xml:space="preserve"> </w:t>
      </w:r>
      <w:r w:rsidR="001D1B1D">
        <w:t xml:space="preserve">Committee (“Committee”) </w:t>
      </w:r>
      <w:r w:rsidR="00BF7C09">
        <w:t xml:space="preserve">the power to determine and maintain the Fund’s strategies, </w:t>
      </w:r>
      <w:proofErr w:type="gramStart"/>
      <w:r w:rsidR="00BF7C09">
        <w:t>policies</w:t>
      </w:r>
      <w:proofErr w:type="gramEnd"/>
      <w:r w:rsidR="00BF7C09">
        <w:t xml:space="preserve"> and procedures, </w:t>
      </w:r>
      <w:r w:rsidR="005E4B6E">
        <w:t>including</w:t>
      </w:r>
      <w:r w:rsidR="00BF7C09">
        <w:t xml:space="preserve"> </w:t>
      </w:r>
      <w:r w:rsidR="002F7FC6">
        <w:t>i</w:t>
      </w:r>
      <w:r w:rsidR="00BF7C09">
        <w:t xml:space="preserve">nvestment </w:t>
      </w:r>
      <w:r w:rsidR="002F7FC6">
        <w:t>s</w:t>
      </w:r>
      <w:r w:rsidR="00BF7C09">
        <w:t>trategy</w:t>
      </w:r>
      <w:r w:rsidR="0022776F">
        <w:t>. Implementation of the strategy and the monitoring of performance is delegated to the Investment Sub-Committee, for which the membersh</w:t>
      </w:r>
      <w:r w:rsidR="00355A53">
        <w:t>ip is drawn from the Committee.</w:t>
      </w:r>
    </w:p>
    <w:p w14:paraId="360D4496" w14:textId="6AC741CD" w:rsidR="006B3163" w:rsidRDefault="00027CC4" w:rsidP="002D4983">
      <w:pPr>
        <w:spacing w:after="25"/>
        <w:ind w:left="9" w:right="198"/>
      </w:pPr>
      <w:r>
        <w:t>The ISS is made in accordance with Regulation 7 of the Local Government Pension Scheme (Management and Investment of Funds) Regulations 2016 (“the Regulations”)</w:t>
      </w:r>
      <w:r w:rsidR="002F7FC6">
        <w:t>. The Regulations state that the Fund’s investment strategy must describe how the Fund’s money will be invested, the approach to risk, the approach to pooling investments</w:t>
      </w:r>
      <w:r w:rsidR="005E4B6E">
        <w:t>,</w:t>
      </w:r>
      <w:r w:rsidR="002F7FC6">
        <w:t xml:space="preserve"> the policy on how Environmental, Social and Governance considerations are </w:t>
      </w:r>
      <w:proofErr w:type="gramStart"/>
      <w:r w:rsidR="002F7FC6">
        <w:t>taken into account</w:t>
      </w:r>
      <w:proofErr w:type="gramEnd"/>
      <w:r w:rsidR="002F7FC6">
        <w:t xml:space="preserve"> in investment decisions</w:t>
      </w:r>
      <w:r w:rsidR="005E4B6E">
        <w:t>,</w:t>
      </w:r>
      <w:r w:rsidR="002F7FC6">
        <w:t xml:space="preserve"> and the Fund’s policy on </w:t>
      </w:r>
      <w:r w:rsidR="005E4B6E">
        <w:t>exercising</w:t>
      </w:r>
      <w:r w:rsidR="002F7FC6">
        <w:t xml:space="preserve"> rights of ownership including voting rights</w:t>
      </w:r>
      <w:r>
        <w:t>.</w:t>
      </w:r>
    </w:p>
    <w:p w14:paraId="21849C14" w14:textId="0676A0F2" w:rsidR="005E4B6E" w:rsidRDefault="00027CC4" w:rsidP="001D1B1D">
      <w:pPr>
        <w:ind w:left="9" w:right="198"/>
      </w:pPr>
      <w:r>
        <w:t xml:space="preserve">The ISS </w:t>
      </w:r>
      <w:r w:rsidR="005E4B6E">
        <w:t xml:space="preserve">was approved </w:t>
      </w:r>
      <w:r>
        <w:t>by the Pension</w:t>
      </w:r>
      <w:r w:rsidR="00545FE5">
        <w:t xml:space="preserve"> </w:t>
      </w:r>
      <w:r>
        <w:t xml:space="preserve">Committee </w:t>
      </w:r>
      <w:r w:rsidR="005E4B6E">
        <w:t xml:space="preserve">on </w:t>
      </w:r>
      <w:r w:rsidR="00C73FC3">
        <w:t>29 March 2023</w:t>
      </w:r>
      <w:r w:rsidR="005E4B6E">
        <w:t xml:space="preserve">, </w:t>
      </w:r>
      <w:r w:rsidR="00355A53">
        <w:t>having taken</w:t>
      </w:r>
      <w:r w:rsidR="005E4B6E">
        <w:t xml:space="preserve"> proper advice from its advisers and </w:t>
      </w:r>
      <w:r>
        <w:t>consulted on the contents of the Fund’s investment strategy with such persons it considers appropriate</w:t>
      </w:r>
      <w:r w:rsidR="005E4B6E">
        <w:t xml:space="preserve">. </w:t>
      </w:r>
    </w:p>
    <w:p w14:paraId="3E6A4634" w14:textId="285B00C5" w:rsidR="00654B04" w:rsidRDefault="00654B04" w:rsidP="001D1B1D">
      <w:pPr>
        <w:ind w:left="9" w:right="198"/>
      </w:pPr>
    </w:p>
    <w:p w14:paraId="360D4498" w14:textId="02B7BB16" w:rsidR="006B3163" w:rsidRDefault="005E4B6E" w:rsidP="005E4B6E">
      <w:pPr>
        <w:ind w:left="9" w:right="198"/>
      </w:pPr>
      <w:r>
        <w:t xml:space="preserve">In accordance with the Regulations, </w:t>
      </w:r>
      <w:r w:rsidR="00027CC4">
        <w:t xml:space="preserve">the Committee review </w:t>
      </w:r>
      <w:r w:rsidR="00516AC0">
        <w:t xml:space="preserve">the investment strategy </w:t>
      </w:r>
      <w:r w:rsidR="00027CC4">
        <w:t xml:space="preserve">at least every three years and without delay after any significant change in investment policy. </w:t>
      </w:r>
      <w:r w:rsidR="001D1B1D">
        <w:t>I</w:t>
      </w:r>
      <w:r w:rsidR="00654B04">
        <w:t>n</w:t>
      </w:r>
      <w:r w:rsidR="001D1B1D">
        <w:t xml:space="preserve"> practice the Committee review the ISS at least annually. </w:t>
      </w:r>
      <w:r w:rsidR="00027CC4">
        <w:t xml:space="preserve"> </w:t>
      </w:r>
    </w:p>
    <w:p w14:paraId="360D449A" w14:textId="0BB58D47" w:rsidR="006B3163" w:rsidRDefault="00027CC4" w:rsidP="00AC72BE">
      <w:pPr>
        <w:spacing w:after="1"/>
        <w:ind w:left="9" w:right="198"/>
      </w:pPr>
      <w:r>
        <w:t xml:space="preserve">The Committee seeks to invest in accordance with the ISS any Fund </w:t>
      </w:r>
      <w:r w:rsidR="00654B04">
        <w:t xml:space="preserve">surplus cash </w:t>
      </w:r>
      <w:r>
        <w:t xml:space="preserve">that is not needed immediately to make payments from the Fund.  The ISS should be read in conjunction with the </w:t>
      </w:r>
      <w:hyperlink r:id="rId17" w:history="1">
        <w:r w:rsidRPr="00E572B6">
          <w:rPr>
            <w:rStyle w:val="Hyperlink"/>
          </w:rPr>
          <w:t>Fund’s Funding Strategy Statement</w:t>
        </w:r>
        <w:r w:rsidR="00550177" w:rsidRPr="00E572B6">
          <w:rPr>
            <w:rStyle w:val="Hyperlink"/>
          </w:rPr>
          <w:t xml:space="preserve"> (FSS)</w:t>
        </w:r>
      </w:hyperlink>
      <w:hyperlink r:id="rId18">
        <w:r>
          <w:t>.</w:t>
        </w:r>
      </w:hyperlink>
    </w:p>
    <w:p w14:paraId="360D449B" w14:textId="66B4E941" w:rsidR="006B3163" w:rsidRDefault="006B3163">
      <w:pPr>
        <w:spacing w:after="197" w:line="259" w:lineRule="auto"/>
        <w:ind w:left="14" w:firstLine="0"/>
      </w:pPr>
    </w:p>
    <w:p w14:paraId="360D449C" w14:textId="0D20FE2F" w:rsidR="006B3163" w:rsidRPr="00E230F1" w:rsidRDefault="001A533D" w:rsidP="00E230F1">
      <w:pPr>
        <w:pStyle w:val="Heading2"/>
        <w:numPr>
          <w:ilvl w:val="0"/>
          <w:numId w:val="12"/>
        </w:numPr>
        <w:spacing w:after="120" w:line="259" w:lineRule="auto"/>
        <w:rPr>
          <w:color w:val="auto"/>
        </w:rPr>
      </w:pPr>
      <w:bookmarkStart w:id="3" w:name="_Toc77166427"/>
      <w:r w:rsidRPr="00E230F1">
        <w:rPr>
          <w:rFonts w:ascii="Arial" w:hAnsi="Arial" w:cs="Arial"/>
          <w:color w:val="auto"/>
        </w:rPr>
        <w:t>OBJECTIVES OF THE FUND</w:t>
      </w:r>
      <w:bookmarkEnd w:id="3"/>
    </w:p>
    <w:p w14:paraId="360D449D" w14:textId="45C41363" w:rsidR="006B3163" w:rsidRDefault="00027CC4">
      <w:pPr>
        <w:ind w:left="9" w:right="789"/>
      </w:pPr>
      <w:r>
        <w:t>The primary objective of the Fund is to provide pension and lump sum benefits for members on their retirement and/or benefits on death, before or after retirement, for their dependants, on a defined benefits basis.  Pensions and benefits will be met by contributions, asset returns and income.</w:t>
      </w:r>
    </w:p>
    <w:p w14:paraId="360D449E" w14:textId="699ED0F0" w:rsidR="006B3163" w:rsidRDefault="00027CC4">
      <w:pPr>
        <w:spacing w:after="134"/>
        <w:ind w:left="9" w:right="528"/>
      </w:pPr>
      <w:r>
        <w:t>The Pension Committee works to endeavour that, in normal market conditions, all accrued benefits are fully covered by the value of the Fund's assets and that an appropriate level of contributions is agreed by the employer to meet the cost of future benefits accruing.</w:t>
      </w:r>
    </w:p>
    <w:p w14:paraId="360D449F" w14:textId="1E0A566A" w:rsidR="006B3163" w:rsidRDefault="00027CC4">
      <w:pPr>
        <w:spacing w:after="137"/>
        <w:ind w:left="9" w:right="876"/>
      </w:pPr>
      <w:r>
        <w:t xml:space="preserve">The Fund is subject to an actuarial review every three years, in preparation for which the Fund, in conjunction with the Fund’s Actuary and taking investment advice, prepares a FSS that sets out the strategy to ensure the long-term solvency of the Fund whilst recognising the need for a minimum (where possible and subject to a level of prudence) and, stable level of employer contributions. </w:t>
      </w:r>
    </w:p>
    <w:p w14:paraId="360D44A2" w14:textId="00E6A713" w:rsidR="006B3163" w:rsidRDefault="00027CC4" w:rsidP="002D4983">
      <w:pPr>
        <w:spacing w:after="252"/>
        <w:ind w:left="-1" w:right="198" w:firstLine="0"/>
      </w:pPr>
      <w:r>
        <w:t xml:space="preserve">The Administering Authority runs the </w:t>
      </w:r>
      <w:r w:rsidR="003C417F">
        <w:t xml:space="preserve">Northamptonshire Pension </w:t>
      </w:r>
      <w:r>
        <w:t>Fund</w:t>
      </w:r>
      <w:r w:rsidR="00D3186A">
        <w:t xml:space="preserve"> </w:t>
      </w:r>
      <w:r>
        <w:t>to make sure it</w:t>
      </w:r>
      <w:r w:rsidR="00A676A2">
        <w:t xml:space="preserve"> i</w:t>
      </w:r>
      <w:r>
        <w:t>nvests the contributions appropriately, with the aim that the Fund’s assets grow over time with investment income and capital growth.</w:t>
      </w:r>
    </w:p>
    <w:p w14:paraId="360D44A3" w14:textId="2D49D677" w:rsidR="006B3163" w:rsidRPr="00E230F1" w:rsidRDefault="001A533D" w:rsidP="00E230F1">
      <w:pPr>
        <w:pStyle w:val="Heading2"/>
        <w:numPr>
          <w:ilvl w:val="0"/>
          <w:numId w:val="12"/>
        </w:numPr>
        <w:spacing w:after="120" w:line="259" w:lineRule="auto"/>
        <w:rPr>
          <w:color w:val="auto"/>
        </w:rPr>
      </w:pPr>
      <w:bookmarkStart w:id="4" w:name="_Toc77166428"/>
      <w:r w:rsidRPr="00E230F1">
        <w:rPr>
          <w:rFonts w:ascii="Arial" w:hAnsi="Arial" w:cs="Arial"/>
          <w:color w:val="auto"/>
        </w:rPr>
        <w:t>INVESTMENT BELIEFS</w:t>
      </w:r>
      <w:bookmarkEnd w:id="4"/>
      <w:r w:rsidRPr="00E230F1">
        <w:rPr>
          <w:rFonts w:ascii="Arial" w:hAnsi="Arial" w:cs="Arial"/>
          <w:color w:val="auto"/>
        </w:rPr>
        <w:t xml:space="preserve">  </w:t>
      </w:r>
    </w:p>
    <w:p w14:paraId="360D44A4" w14:textId="5C4AAFCB" w:rsidR="006B3163" w:rsidRDefault="00027CC4">
      <w:pPr>
        <w:spacing w:after="225"/>
        <w:ind w:left="9" w:right="633"/>
      </w:pPr>
      <w:r>
        <w:t xml:space="preserve">The </w:t>
      </w:r>
      <w:r w:rsidR="00154E72">
        <w:t xml:space="preserve">investment </w:t>
      </w:r>
      <w:r>
        <w:t xml:space="preserve">strategy adopted by the Fund reflects the FSS requirements to invest </w:t>
      </w:r>
      <w:r w:rsidR="00304599">
        <w:t xml:space="preserve">the Fund’s assets </w:t>
      </w:r>
      <w:r>
        <w:t>appropriately with the aim that assets grow over time with investment income and capital growth by applying the investment beliefs</w:t>
      </w:r>
      <w:r w:rsidR="00C73FC3" w:rsidRPr="00C73FC3">
        <w:t xml:space="preserve"> out below (it is important to note, that responsible investment beliefs can be found in the section 8 paragraph B of this document):</w:t>
      </w:r>
    </w:p>
    <w:p w14:paraId="360D44A5" w14:textId="23B753E0" w:rsidR="006B3163" w:rsidRDefault="00027CC4">
      <w:pPr>
        <w:numPr>
          <w:ilvl w:val="0"/>
          <w:numId w:val="1"/>
        </w:numPr>
        <w:ind w:right="198" w:hanging="360"/>
      </w:pPr>
      <w:r>
        <w:t xml:space="preserve">The strategic asset allocation is the key factor in determining the risk and return profile of the Fund’s investments and recognises that the Fund is a long-term, open scheme that has an obligation to pay benefits that are linked to inflation. The Committee also </w:t>
      </w:r>
      <w:proofErr w:type="gramStart"/>
      <w:r>
        <w:t>takes into account</w:t>
      </w:r>
      <w:proofErr w:type="gramEnd"/>
      <w:r>
        <w:t xml:space="preserve"> the covenant associated with the Fund’s employers in deciding how much risk is appropriate.</w:t>
      </w:r>
    </w:p>
    <w:p w14:paraId="360D44A6" w14:textId="4B197704" w:rsidR="006B3163" w:rsidRDefault="00027CC4">
      <w:pPr>
        <w:numPr>
          <w:ilvl w:val="0"/>
          <w:numId w:val="1"/>
        </w:numPr>
        <w:ind w:right="198" w:hanging="360"/>
      </w:pPr>
      <w:r>
        <w:t xml:space="preserve">Asset allocation and specifically the headline amounts invested in equities, fixed </w:t>
      </w:r>
      <w:proofErr w:type="gramStart"/>
      <w:r>
        <w:t>income</w:t>
      </w:r>
      <w:proofErr w:type="gramEnd"/>
      <w:r>
        <w:t xml:space="preserve"> and alternatives, will drive risk and return levels.</w:t>
      </w:r>
    </w:p>
    <w:p w14:paraId="360D44A7" w14:textId="2AF7A899" w:rsidR="006B3163" w:rsidRDefault="00027CC4">
      <w:pPr>
        <w:numPr>
          <w:ilvl w:val="0"/>
          <w:numId w:val="1"/>
        </w:numPr>
        <w:ind w:right="198" w:hanging="360"/>
      </w:pPr>
      <w:r>
        <w:t xml:space="preserve">Investing over the long-term provides opportunities to improve returns. </w:t>
      </w:r>
    </w:p>
    <w:p w14:paraId="360D44A8" w14:textId="7A0BCEBE" w:rsidR="006B3163" w:rsidRDefault="00027CC4">
      <w:pPr>
        <w:numPr>
          <w:ilvl w:val="1"/>
          <w:numId w:val="1"/>
        </w:numPr>
        <w:spacing w:after="115" w:line="259" w:lineRule="auto"/>
        <w:ind w:right="198" w:hanging="360"/>
      </w:pPr>
      <w:r>
        <w:t>Asset classes that return over a reasonably long duration are suitable for this Fund.</w:t>
      </w:r>
    </w:p>
    <w:p w14:paraId="360D44A9" w14:textId="3F8C6D68" w:rsidR="006B3163" w:rsidRDefault="00027CC4">
      <w:pPr>
        <w:numPr>
          <w:ilvl w:val="1"/>
          <w:numId w:val="1"/>
        </w:numPr>
        <w:ind w:right="198" w:hanging="360"/>
      </w:pPr>
      <w:r>
        <w:t xml:space="preserve">The Fund has a policy of holding </w:t>
      </w:r>
      <w:r w:rsidR="00154E72">
        <w:t xml:space="preserve">investment </w:t>
      </w:r>
      <w:r>
        <w:t>managers over the longer-term to reduce the impact of transitions and believes in the benefits of compounded returns.</w:t>
      </w:r>
    </w:p>
    <w:p w14:paraId="360D44AA" w14:textId="5E576BBA" w:rsidR="006B3163" w:rsidRDefault="00027CC4">
      <w:pPr>
        <w:numPr>
          <w:ilvl w:val="0"/>
          <w:numId w:val="1"/>
        </w:numPr>
        <w:ind w:right="198" w:hanging="360"/>
      </w:pPr>
      <w:r>
        <w:lastRenderedPageBreak/>
        <w:t>Equities are expected to generate returns above the growth of liabilities over the long-term and have an indirect link to inflation.</w:t>
      </w:r>
    </w:p>
    <w:p w14:paraId="360D44AB" w14:textId="0954DFFE" w:rsidR="006B3163" w:rsidRDefault="00027CC4">
      <w:pPr>
        <w:numPr>
          <w:ilvl w:val="1"/>
          <w:numId w:val="1"/>
        </w:numPr>
        <w:ind w:right="198" w:hanging="360"/>
      </w:pPr>
      <w:r>
        <w:t xml:space="preserve">The Fund predominately holds equities due to the belief that they will provide returns above liabilities over the long-term and this helps to ensure that contribution </w:t>
      </w:r>
      <w:r w:rsidR="00154E72">
        <w:t xml:space="preserve">rates </w:t>
      </w:r>
      <w:r>
        <w:t>remain affordable</w:t>
      </w:r>
      <w:r w:rsidR="00077022">
        <w:t xml:space="preserve"> for employers</w:t>
      </w:r>
      <w:r>
        <w:t>.</w:t>
      </w:r>
    </w:p>
    <w:p w14:paraId="360D44AC" w14:textId="7A8BF170" w:rsidR="006B3163" w:rsidRDefault="00027CC4">
      <w:pPr>
        <w:numPr>
          <w:ilvl w:val="0"/>
          <w:numId w:val="1"/>
        </w:numPr>
        <w:ind w:right="198" w:hanging="360"/>
      </w:pPr>
      <w:r>
        <w:t>Inflation linked UK Government bonds provide a high degree of liability matching and a direct link to inflation.</w:t>
      </w:r>
    </w:p>
    <w:p w14:paraId="360D44AD" w14:textId="65BA4208" w:rsidR="006B3163" w:rsidRDefault="00027CC4">
      <w:pPr>
        <w:numPr>
          <w:ilvl w:val="1"/>
          <w:numId w:val="1"/>
        </w:numPr>
        <w:ind w:right="198" w:hanging="360"/>
      </w:pPr>
      <w:r>
        <w:t xml:space="preserve">Investments in government bonds are not held for return purposes but are held </w:t>
      </w:r>
      <w:proofErr w:type="gramStart"/>
      <w:r>
        <w:t>in order to</w:t>
      </w:r>
      <w:proofErr w:type="gramEnd"/>
      <w:r>
        <w:t xml:space="preserve"> mitigate the risk that contribution rates need to increase significantly should yields fall.</w:t>
      </w:r>
    </w:p>
    <w:p w14:paraId="360D44AE" w14:textId="35841FEC" w:rsidR="006B3163" w:rsidRDefault="00027CC4">
      <w:pPr>
        <w:numPr>
          <w:ilvl w:val="0"/>
          <w:numId w:val="1"/>
        </w:numPr>
        <w:ind w:right="198" w:hanging="360"/>
      </w:pPr>
      <w:r>
        <w:t>Non-Government bonds are expected to provide a return above government bonds and can provide some interest rate protection relative to the liabilities.</w:t>
      </w:r>
    </w:p>
    <w:p w14:paraId="360D44AF" w14:textId="7338B591" w:rsidR="006B3163" w:rsidRDefault="00027CC4">
      <w:pPr>
        <w:numPr>
          <w:ilvl w:val="0"/>
          <w:numId w:val="1"/>
        </w:numPr>
        <w:ind w:right="198" w:hanging="360"/>
      </w:pPr>
      <w:r>
        <w:t xml:space="preserve">Alternative assets are expected to generate returns above liabilities over the long-term, </w:t>
      </w:r>
      <w:r w:rsidR="00A676A2">
        <w:t xml:space="preserve">which can be </w:t>
      </w:r>
      <w:r w:rsidR="00154E72">
        <w:t xml:space="preserve">linked to </w:t>
      </w:r>
      <w:r>
        <w:t>inflation, as well as providing diversification</w:t>
      </w:r>
      <w:r w:rsidR="00304599">
        <w:t xml:space="preserve"> and cashflow generative</w:t>
      </w:r>
      <w:r>
        <w:t xml:space="preserve"> benefits.</w:t>
      </w:r>
    </w:p>
    <w:p w14:paraId="360D44B0" w14:textId="5364D71A" w:rsidR="006B3163" w:rsidRDefault="00027CC4">
      <w:pPr>
        <w:numPr>
          <w:ilvl w:val="0"/>
          <w:numId w:val="1"/>
        </w:numPr>
        <w:ind w:right="198" w:hanging="360"/>
      </w:pPr>
      <w:r>
        <w:t>Diversification across asset classes can help to mitigate against adverse market conditions and assist the Fund to produce a smoother return profile due to returns coming from a range of different sources.</w:t>
      </w:r>
    </w:p>
    <w:p w14:paraId="360D44B1" w14:textId="5E9CD975" w:rsidR="006B3163" w:rsidRDefault="00027CC4">
      <w:pPr>
        <w:numPr>
          <w:ilvl w:val="0"/>
          <w:numId w:val="1"/>
        </w:numPr>
        <w:ind w:right="198" w:hanging="360"/>
      </w:pPr>
      <w:r>
        <w:t>The Committee favours active management, where there are opportunities for active managers to add value, increasing overall expected return net of fees.</w:t>
      </w:r>
    </w:p>
    <w:p w14:paraId="360D44B2" w14:textId="7F4CEFF2" w:rsidR="006B3163" w:rsidRDefault="00027CC4">
      <w:pPr>
        <w:numPr>
          <w:ilvl w:val="0"/>
          <w:numId w:val="1"/>
        </w:numPr>
        <w:ind w:right="198" w:hanging="360"/>
      </w:pPr>
      <w:r>
        <w:t>Passive strategies provide low</w:t>
      </w:r>
      <w:r w:rsidR="00304599">
        <w:t>-</w:t>
      </w:r>
      <w:r>
        <w:t>cost access to market returns.</w:t>
      </w:r>
    </w:p>
    <w:p w14:paraId="360D44B3" w14:textId="5D5F8644" w:rsidR="006B3163" w:rsidRDefault="00027CC4">
      <w:pPr>
        <w:numPr>
          <w:ilvl w:val="0"/>
          <w:numId w:val="1"/>
        </w:numPr>
        <w:ind w:right="198" w:hanging="360"/>
      </w:pPr>
      <w:r>
        <w:t>Responsible Investment including Environmental, Social and Governance are important factors for the sustainability of longer</w:t>
      </w:r>
      <w:r w:rsidR="00304599">
        <w:t>-</w:t>
      </w:r>
      <w:r>
        <w:t>term investment returns.</w:t>
      </w:r>
    </w:p>
    <w:p w14:paraId="360D44B4" w14:textId="6BAA14CB" w:rsidR="006B3163" w:rsidRDefault="00027CC4" w:rsidP="00AC72BE">
      <w:pPr>
        <w:numPr>
          <w:ilvl w:val="0"/>
          <w:numId w:val="1"/>
        </w:numPr>
        <w:spacing w:after="240" w:line="259" w:lineRule="auto"/>
        <w:ind w:left="731" w:right="198" w:hanging="357"/>
      </w:pPr>
      <w:r>
        <w:t>Value for money is defined as recognising net return over absolute cost.</w:t>
      </w:r>
    </w:p>
    <w:p w14:paraId="360D44B6" w14:textId="6D7735E4" w:rsidR="006B3163" w:rsidRPr="00E230F1" w:rsidRDefault="001A533D" w:rsidP="00E230F1">
      <w:pPr>
        <w:pStyle w:val="Heading2"/>
        <w:numPr>
          <w:ilvl w:val="0"/>
          <w:numId w:val="12"/>
        </w:numPr>
        <w:spacing w:after="120" w:line="259" w:lineRule="auto"/>
        <w:rPr>
          <w:color w:val="auto"/>
        </w:rPr>
      </w:pPr>
      <w:bookmarkStart w:id="5" w:name="_Toc77166429"/>
      <w:r w:rsidRPr="00E230F1">
        <w:rPr>
          <w:rFonts w:ascii="Arial" w:hAnsi="Arial" w:cs="Arial"/>
          <w:color w:val="auto"/>
        </w:rPr>
        <w:t>SELECTING A SUITABLE STRATEGY</w:t>
      </w:r>
      <w:bookmarkEnd w:id="5"/>
    </w:p>
    <w:p w14:paraId="360D44B7" w14:textId="3B43561D" w:rsidR="006B3163" w:rsidRDefault="00027CC4" w:rsidP="00AC72BE">
      <w:pPr>
        <w:spacing w:after="240" w:line="259" w:lineRule="auto"/>
        <w:ind w:left="11" w:right="198" w:hanging="11"/>
      </w:pPr>
      <w:r>
        <w:t xml:space="preserve">The Committee is responsible for the Fund’s </w:t>
      </w:r>
      <w:r w:rsidR="00154E72">
        <w:t xml:space="preserve">strategic </w:t>
      </w:r>
      <w:r>
        <w:t xml:space="preserve">asset allocation which is determined via a triennial strategy review as part of the valuation </w:t>
      </w:r>
      <w:proofErr w:type="gramStart"/>
      <w:r>
        <w:t>process, but</w:t>
      </w:r>
      <w:proofErr w:type="gramEnd"/>
      <w:r>
        <w:t xml:space="preserve"> is kept under regular review; noting that strategic changes are an evolutionary process.</w:t>
      </w:r>
    </w:p>
    <w:p w14:paraId="360D44B8" w14:textId="6388028C" w:rsidR="006B3163" w:rsidRDefault="00027CC4">
      <w:pPr>
        <w:spacing w:after="53"/>
        <w:ind w:left="9" w:right="198"/>
      </w:pPr>
      <w:r>
        <w:t xml:space="preserve">The triennial </w:t>
      </w:r>
      <w:r w:rsidR="0091350F">
        <w:t xml:space="preserve">strategy </w:t>
      </w:r>
      <w:r>
        <w:t xml:space="preserve">review looks at both qualitative and quantitative analysis, covering the following, which are expanded upon later in </w:t>
      </w:r>
      <w:r w:rsidR="0091350F">
        <w:t>the ISS</w:t>
      </w:r>
      <w:r>
        <w:t>:</w:t>
      </w:r>
    </w:p>
    <w:p w14:paraId="360D44B9" w14:textId="76B7756A" w:rsidR="006B3163" w:rsidRDefault="00027CC4">
      <w:pPr>
        <w:numPr>
          <w:ilvl w:val="0"/>
          <w:numId w:val="2"/>
        </w:numPr>
        <w:spacing w:after="57"/>
        <w:ind w:right="198" w:hanging="360"/>
      </w:pPr>
      <w:r>
        <w:t xml:space="preserve">The required level of return that will mean the Fund can meet its future benefit obligations as they fall due </w:t>
      </w:r>
    </w:p>
    <w:p w14:paraId="360D44BA" w14:textId="772063A2" w:rsidR="006B3163" w:rsidRDefault="00027CC4">
      <w:pPr>
        <w:numPr>
          <w:ilvl w:val="0"/>
          <w:numId w:val="2"/>
        </w:numPr>
        <w:spacing w:after="60"/>
        <w:ind w:right="198" w:hanging="360"/>
      </w:pPr>
      <w:r>
        <w:t>The level of risk that the Fund can tolerate in absolute terms, and in relation to its funding level and deficit</w:t>
      </w:r>
    </w:p>
    <w:p w14:paraId="360D44BB" w14:textId="55749607" w:rsidR="006B3163" w:rsidRDefault="00027CC4">
      <w:pPr>
        <w:numPr>
          <w:ilvl w:val="0"/>
          <w:numId w:val="2"/>
        </w:numPr>
        <w:ind w:right="198" w:hanging="360"/>
      </w:pPr>
      <w:r>
        <w:t xml:space="preserve">An analysis of the magnitude of the various risks facing the Fund is </w:t>
      </w:r>
      <w:r w:rsidR="004604D8">
        <w:t>established in</w:t>
      </w:r>
      <w:r>
        <w:t xml:space="preserve"> order that a priority for mitigation can be determined </w:t>
      </w:r>
    </w:p>
    <w:p w14:paraId="74AC72FD" w14:textId="19812AB0" w:rsidR="00304599" w:rsidRDefault="00304599" w:rsidP="00304599">
      <w:pPr>
        <w:numPr>
          <w:ilvl w:val="0"/>
          <w:numId w:val="2"/>
        </w:numPr>
        <w:ind w:right="198" w:hanging="360"/>
      </w:pPr>
      <w:r w:rsidRPr="00304599">
        <w:t>Applying non-financial ESG factors in investment selection process and consideration of cashflow-generative assets delivering income-driven returns</w:t>
      </w:r>
    </w:p>
    <w:p w14:paraId="360D44BC" w14:textId="07FAC19C" w:rsidR="006B3163" w:rsidRDefault="00027CC4" w:rsidP="00567D40">
      <w:pPr>
        <w:numPr>
          <w:ilvl w:val="0"/>
          <w:numId w:val="2"/>
        </w:numPr>
        <w:ind w:right="198" w:hanging="360"/>
      </w:pPr>
      <w:r>
        <w:t>The desire for diversification across asset class, region, sector, and type of security</w:t>
      </w:r>
      <w:r w:rsidR="00567D40">
        <w:t>.</w:t>
      </w:r>
    </w:p>
    <w:p w14:paraId="360D44BD" w14:textId="6257D9D0" w:rsidR="006B3163" w:rsidRDefault="00027CC4">
      <w:pPr>
        <w:spacing w:after="169"/>
        <w:ind w:left="9" w:right="198"/>
      </w:pPr>
      <w:r>
        <w:lastRenderedPageBreak/>
        <w:t>The Committee utilises a wide range of professional support such as an investment consultant</w:t>
      </w:r>
      <w:r w:rsidR="0091350F">
        <w:t>, an independent investment adviser</w:t>
      </w:r>
      <w:r>
        <w:t xml:space="preserve"> and the Fund’s Actuary. As noted above, the Fund’s objective is to pay benefits as they fall </w:t>
      </w:r>
      <w:proofErr w:type="gramStart"/>
      <w:r>
        <w:t>due</w:t>
      </w:r>
      <w:proofErr w:type="gramEnd"/>
      <w:r>
        <w:t xml:space="preserve"> and this requires the </w:t>
      </w:r>
      <w:r w:rsidR="00150C2E">
        <w:t>build-up</w:t>
      </w:r>
      <w:r>
        <w:t xml:space="preserve"> of sufficient reserves in advance.  </w:t>
      </w:r>
      <w:r w:rsidR="0091350F">
        <w:t>At the last triennial valuation in 20</w:t>
      </w:r>
      <w:r w:rsidR="00304599">
        <w:t>22/23</w:t>
      </w:r>
      <w:r w:rsidR="0091350F">
        <w:t>, t</w:t>
      </w:r>
      <w:r>
        <w:t xml:space="preserve">he Fund </w:t>
      </w:r>
      <w:r w:rsidR="0091350F">
        <w:t>was</w:t>
      </w:r>
      <w:r>
        <w:t xml:space="preserve"> assessed to have a </w:t>
      </w:r>
      <w:r w:rsidR="00304599">
        <w:t>surplus</w:t>
      </w:r>
      <w:r>
        <w:t xml:space="preserve"> in terms of the reserves needed and so the asset strategy is focused on achieving</w:t>
      </w:r>
      <w:r w:rsidR="00304599">
        <w:t xml:space="preserve"> long-term</w:t>
      </w:r>
      <w:r>
        <w:t xml:space="preserve"> returns </w:t>
      </w:r>
      <w:proofErr w:type="gramStart"/>
      <w:r>
        <w:t>in excess of</w:t>
      </w:r>
      <w:proofErr w:type="gramEnd"/>
      <w:r>
        <w:t xml:space="preserve"> inflation, without taking undue risk.  Having a thorough understanding of the risks facing the Fund is crucial and these are covered later in </w:t>
      </w:r>
      <w:r w:rsidR="0091350F">
        <w:t>the ISS</w:t>
      </w:r>
      <w:r>
        <w:t>.</w:t>
      </w:r>
    </w:p>
    <w:p w14:paraId="360D44BF" w14:textId="378FB7D3" w:rsidR="006B3163" w:rsidRDefault="00027CC4" w:rsidP="00AC72BE">
      <w:pPr>
        <w:spacing w:after="240" w:line="259" w:lineRule="auto"/>
        <w:ind w:left="11" w:right="198" w:hanging="11"/>
      </w:pPr>
      <w:r>
        <w:t xml:space="preserve">The Fund’s current investment strategy is set out below reflecting changes </w:t>
      </w:r>
      <w:r w:rsidR="00304599">
        <w:t xml:space="preserve">agreed </w:t>
      </w:r>
      <w:r>
        <w:t xml:space="preserve">in </w:t>
      </w:r>
      <w:r w:rsidR="007025AB">
        <w:t xml:space="preserve">the </w:t>
      </w:r>
      <w:r w:rsidR="00CA150F">
        <w:t>202</w:t>
      </w:r>
      <w:r w:rsidR="00304599">
        <w:t>2</w:t>
      </w:r>
      <w:r w:rsidR="00CA150F">
        <w:t>/2</w:t>
      </w:r>
      <w:r w:rsidR="00304599">
        <w:t>3</w:t>
      </w:r>
      <w:r>
        <w:t xml:space="preserve"> financial year</w:t>
      </w:r>
      <w:r w:rsidR="00D75155">
        <w:t xml:space="preserve"> </w:t>
      </w:r>
      <w:r w:rsidR="00AD4AF5">
        <w:rPr>
          <w:szCs w:val="23"/>
        </w:rPr>
        <w:t>to</w:t>
      </w:r>
      <w:r w:rsidR="00D75155">
        <w:rPr>
          <w:szCs w:val="23"/>
        </w:rPr>
        <w:t xml:space="preserve"> </w:t>
      </w:r>
      <w:r w:rsidR="00AD4AF5">
        <w:rPr>
          <w:szCs w:val="23"/>
        </w:rPr>
        <w:t>increase the allocation to Fixed Income</w:t>
      </w:r>
      <w:r w:rsidR="00304599">
        <w:rPr>
          <w:szCs w:val="23"/>
        </w:rPr>
        <w:t xml:space="preserve"> and alternatives,</w:t>
      </w:r>
      <w:r w:rsidR="00AD4AF5">
        <w:rPr>
          <w:szCs w:val="23"/>
        </w:rPr>
        <w:t xml:space="preserve"> and</w:t>
      </w:r>
      <w:r w:rsidR="00304599">
        <w:rPr>
          <w:szCs w:val="23"/>
        </w:rPr>
        <w:t xml:space="preserve"> to</w:t>
      </w:r>
      <w:r w:rsidR="00AD4AF5">
        <w:rPr>
          <w:szCs w:val="23"/>
        </w:rPr>
        <w:t xml:space="preserve"> reduce </w:t>
      </w:r>
      <w:r w:rsidR="00D75155">
        <w:rPr>
          <w:szCs w:val="23"/>
        </w:rPr>
        <w:t>the allocation to listed equities.</w:t>
      </w:r>
      <w:r>
        <w:t xml:space="preserve"> </w:t>
      </w:r>
      <w:r w:rsidR="00D75155" w:rsidRPr="00655CC7">
        <w:rPr>
          <w:szCs w:val="23"/>
        </w:rPr>
        <w:t xml:space="preserve">Set out below is the </w:t>
      </w:r>
      <w:proofErr w:type="gramStart"/>
      <w:r w:rsidR="00D75155">
        <w:rPr>
          <w:szCs w:val="23"/>
        </w:rPr>
        <w:t>high level</w:t>
      </w:r>
      <w:proofErr w:type="gramEnd"/>
      <w:r w:rsidR="00D75155">
        <w:rPr>
          <w:szCs w:val="23"/>
        </w:rPr>
        <w:t xml:space="preserve"> strategic asset allocation setting out the acceptable tolerance ranges within </w:t>
      </w:r>
      <w:r w:rsidR="00E609C7">
        <w:rPr>
          <w:szCs w:val="23"/>
        </w:rPr>
        <w:t>asset class</w:t>
      </w:r>
      <w:r w:rsidR="00D75155">
        <w:rPr>
          <w:szCs w:val="23"/>
        </w:rPr>
        <w:t>.</w:t>
      </w:r>
      <w:r w:rsidR="00D75155" w:rsidRPr="00655CC7">
        <w:rPr>
          <w:szCs w:val="23"/>
        </w:rPr>
        <w:t xml:space="preserve"> </w:t>
      </w:r>
    </w:p>
    <w:tbl>
      <w:tblPr>
        <w:tblStyle w:val="TableGrid"/>
        <w:tblW w:w="10051" w:type="dxa"/>
        <w:tblInd w:w="28" w:type="dxa"/>
        <w:tblCellMar>
          <w:top w:w="8" w:type="dxa"/>
          <w:left w:w="107" w:type="dxa"/>
        </w:tblCellMar>
        <w:tblLook w:val="04A0" w:firstRow="1" w:lastRow="0" w:firstColumn="1" w:lastColumn="0" w:noHBand="0" w:noVBand="1"/>
        <w:tblCaption w:val="Table - asset classes and target percentages"/>
      </w:tblPr>
      <w:tblGrid>
        <w:gridCol w:w="3350"/>
        <w:gridCol w:w="3353"/>
        <w:gridCol w:w="3348"/>
      </w:tblGrid>
      <w:tr w:rsidR="006B3163" w14:paraId="360D44C3" w14:textId="77777777" w:rsidTr="00AC72BE">
        <w:trPr>
          <w:trHeight w:val="403"/>
          <w:tblHeader/>
        </w:trPr>
        <w:tc>
          <w:tcPr>
            <w:tcW w:w="3350" w:type="dxa"/>
            <w:tcBorders>
              <w:top w:val="single" w:sz="4" w:space="0" w:color="4B4B4B"/>
              <w:left w:val="single" w:sz="4" w:space="0" w:color="4B4B4B"/>
              <w:bottom w:val="single" w:sz="4" w:space="0" w:color="4B4B4B"/>
              <w:right w:val="single" w:sz="4" w:space="0" w:color="FFFFFF"/>
            </w:tcBorders>
            <w:shd w:val="clear" w:color="auto" w:fill="A6A6A6"/>
          </w:tcPr>
          <w:p w14:paraId="360D44C0" w14:textId="77777777" w:rsidR="006B3163" w:rsidRDefault="00027CC4">
            <w:pPr>
              <w:spacing w:after="0" w:line="259" w:lineRule="auto"/>
              <w:ind w:left="0" w:firstLine="0"/>
            </w:pPr>
            <w:r>
              <w:rPr>
                <w:b/>
              </w:rPr>
              <w:t xml:space="preserve">Asset class </w:t>
            </w:r>
            <w:r>
              <w:t xml:space="preserve"> </w:t>
            </w:r>
          </w:p>
        </w:tc>
        <w:tc>
          <w:tcPr>
            <w:tcW w:w="3353" w:type="dxa"/>
            <w:tcBorders>
              <w:top w:val="single" w:sz="4" w:space="0" w:color="4B4B4B"/>
              <w:left w:val="single" w:sz="4" w:space="0" w:color="FFFFFF"/>
              <w:bottom w:val="single" w:sz="4" w:space="0" w:color="4B4B4B"/>
              <w:right w:val="single" w:sz="4" w:space="0" w:color="FFFFFF"/>
            </w:tcBorders>
            <w:shd w:val="clear" w:color="auto" w:fill="A6A6A6"/>
          </w:tcPr>
          <w:p w14:paraId="360D44C1" w14:textId="0FC79E1F" w:rsidR="006B3163" w:rsidRDefault="00027CC4" w:rsidP="002D4983">
            <w:pPr>
              <w:spacing w:after="0" w:line="259" w:lineRule="auto"/>
              <w:ind w:left="1" w:firstLine="0"/>
              <w:jc w:val="center"/>
            </w:pPr>
            <w:r>
              <w:rPr>
                <w:b/>
              </w:rPr>
              <w:t>Target allocation %</w:t>
            </w:r>
          </w:p>
        </w:tc>
        <w:tc>
          <w:tcPr>
            <w:tcW w:w="3348" w:type="dxa"/>
            <w:tcBorders>
              <w:top w:val="single" w:sz="4" w:space="0" w:color="4B4B4B"/>
              <w:left w:val="single" w:sz="4" w:space="0" w:color="FFFFFF"/>
              <w:bottom w:val="single" w:sz="4" w:space="0" w:color="4B4B4B"/>
              <w:right w:val="single" w:sz="4" w:space="0" w:color="4B4B4B"/>
            </w:tcBorders>
            <w:shd w:val="clear" w:color="auto" w:fill="A6A6A6"/>
          </w:tcPr>
          <w:p w14:paraId="360D44C2" w14:textId="77777777" w:rsidR="006B3163" w:rsidRDefault="00027CC4">
            <w:pPr>
              <w:spacing w:after="0" w:line="259" w:lineRule="auto"/>
              <w:ind w:left="0" w:right="98" w:firstLine="0"/>
              <w:jc w:val="center"/>
            </w:pPr>
            <w:r>
              <w:rPr>
                <w:b/>
              </w:rPr>
              <w:t xml:space="preserve">Tolerances% </w:t>
            </w:r>
            <w:r>
              <w:t xml:space="preserve"> </w:t>
            </w:r>
          </w:p>
        </w:tc>
      </w:tr>
      <w:tr w:rsidR="006B3163" w14:paraId="360D44CF" w14:textId="77777777" w:rsidTr="007025AB">
        <w:trPr>
          <w:trHeight w:val="408"/>
        </w:trPr>
        <w:tc>
          <w:tcPr>
            <w:tcW w:w="3350" w:type="dxa"/>
            <w:tcBorders>
              <w:top w:val="single" w:sz="4" w:space="0" w:color="4B4B4B"/>
              <w:left w:val="single" w:sz="4" w:space="0" w:color="4B4B4B"/>
              <w:bottom w:val="single" w:sz="4" w:space="0" w:color="4B4B4B"/>
              <w:right w:val="single" w:sz="4" w:space="0" w:color="4B4B4B"/>
            </w:tcBorders>
          </w:tcPr>
          <w:p w14:paraId="360D44CC" w14:textId="77777777" w:rsidR="006B3163" w:rsidRDefault="00027CC4" w:rsidP="007025AB">
            <w:pPr>
              <w:spacing w:after="0" w:line="259" w:lineRule="auto"/>
              <w:ind w:left="0" w:right="108" w:firstLine="0"/>
            </w:pPr>
            <w:r>
              <w:t xml:space="preserve">Equities  </w:t>
            </w:r>
          </w:p>
        </w:tc>
        <w:tc>
          <w:tcPr>
            <w:tcW w:w="3353" w:type="dxa"/>
            <w:tcBorders>
              <w:top w:val="single" w:sz="4" w:space="0" w:color="4B4B4B"/>
              <w:left w:val="single" w:sz="4" w:space="0" w:color="4B4B4B"/>
              <w:bottom w:val="single" w:sz="4" w:space="0" w:color="4B4B4B"/>
              <w:right w:val="single" w:sz="4" w:space="0" w:color="4B4B4B"/>
            </w:tcBorders>
          </w:tcPr>
          <w:p w14:paraId="360D44CD" w14:textId="3EC370AC" w:rsidR="006B3163" w:rsidRDefault="005D6CBC" w:rsidP="002D4983">
            <w:pPr>
              <w:tabs>
                <w:tab w:val="decimal" w:pos="1609"/>
              </w:tabs>
              <w:spacing w:after="0" w:line="259" w:lineRule="auto"/>
              <w:ind w:left="901" w:hanging="426"/>
              <w:jc w:val="both"/>
            </w:pPr>
            <w:r>
              <w:t>42</w:t>
            </w:r>
            <w:r w:rsidR="00027CC4">
              <w:t>.</w:t>
            </w:r>
            <w:r>
              <w:t>5</w:t>
            </w:r>
            <w:r w:rsidR="00027CC4">
              <w:t xml:space="preserve">%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CE" w14:textId="410EFE1D" w:rsidR="006B3163" w:rsidRDefault="00EA3510" w:rsidP="00CA150F">
            <w:pPr>
              <w:spacing w:after="0" w:line="259" w:lineRule="auto"/>
              <w:ind w:left="0" w:right="107" w:firstLine="0"/>
              <w:jc w:val="center"/>
            </w:pPr>
            <w:r>
              <w:t>+/- 5% (</w:t>
            </w:r>
            <w:r w:rsidR="005D6CBC">
              <w:t>37.5</w:t>
            </w:r>
            <w:r w:rsidR="00027CC4">
              <w:t xml:space="preserve">% - </w:t>
            </w:r>
            <w:r w:rsidR="005D6CBC">
              <w:t>47.5</w:t>
            </w:r>
            <w:r w:rsidR="00027CC4">
              <w:t>%</w:t>
            </w:r>
            <w:r>
              <w:t>)</w:t>
            </w:r>
            <w:r w:rsidR="00027CC4">
              <w:t xml:space="preserve">  </w:t>
            </w:r>
          </w:p>
        </w:tc>
      </w:tr>
      <w:tr w:rsidR="006B3163" w14:paraId="360D44DB" w14:textId="77777777" w:rsidTr="007025AB">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D8" w14:textId="77777777" w:rsidR="006B3163" w:rsidRDefault="00027CC4" w:rsidP="007025AB">
            <w:pPr>
              <w:tabs>
                <w:tab w:val="decimal" w:pos="569"/>
              </w:tabs>
              <w:spacing w:after="0" w:line="259" w:lineRule="auto"/>
              <w:ind w:left="0" w:right="104" w:firstLine="0"/>
            </w:pPr>
            <w:r>
              <w:t xml:space="preserve">Fixed Income  </w:t>
            </w:r>
          </w:p>
        </w:tc>
        <w:tc>
          <w:tcPr>
            <w:tcW w:w="3353" w:type="dxa"/>
            <w:tcBorders>
              <w:top w:val="single" w:sz="4" w:space="0" w:color="4B4B4B"/>
              <w:left w:val="single" w:sz="4" w:space="0" w:color="4B4B4B"/>
              <w:bottom w:val="single" w:sz="4" w:space="0" w:color="4B4B4B"/>
              <w:right w:val="single" w:sz="4" w:space="0" w:color="4B4B4B"/>
            </w:tcBorders>
          </w:tcPr>
          <w:p w14:paraId="360D44D9" w14:textId="53666472" w:rsidR="006B3163" w:rsidRDefault="005D6CBC" w:rsidP="002D4983">
            <w:pPr>
              <w:tabs>
                <w:tab w:val="decimal" w:pos="1609"/>
              </w:tabs>
              <w:spacing w:after="0" w:line="259" w:lineRule="auto"/>
              <w:ind w:left="901" w:hanging="426"/>
              <w:jc w:val="both"/>
            </w:pPr>
            <w:r>
              <w:t>3</w:t>
            </w:r>
            <w:r w:rsidR="00E80582">
              <w:t>0</w:t>
            </w:r>
            <w:r w:rsidR="00027CC4">
              <w:t xml:space="preserve">.0%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DA" w14:textId="1980B48F" w:rsidR="006B3163" w:rsidRDefault="00EA3510" w:rsidP="00EA0BF3">
            <w:pPr>
              <w:spacing w:after="0" w:line="259" w:lineRule="auto"/>
              <w:ind w:left="0" w:right="99" w:firstLine="0"/>
              <w:jc w:val="center"/>
            </w:pPr>
            <w:r>
              <w:t xml:space="preserve">+/- </w:t>
            </w:r>
            <w:r w:rsidR="003C417F">
              <w:t>5</w:t>
            </w:r>
            <w:r>
              <w:t>% (</w:t>
            </w:r>
            <w:r w:rsidR="005D6CBC">
              <w:t>2</w:t>
            </w:r>
            <w:r w:rsidR="00E80582">
              <w:t>5</w:t>
            </w:r>
            <w:r>
              <w:t>.0</w:t>
            </w:r>
            <w:r w:rsidR="00027CC4">
              <w:t>%-</w:t>
            </w:r>
            <w:r w:rsidR="005D6CBC">
              <w:t>35</w:t>
            </w:r>
            <w:r w:rsidR="00027CC4">
              <w:t>%</w:t>
            </w:r>
            <w:r>
              <w:t>)</w:t>
            </w:r>
            <w:r w:rsidR="00027CC4">
              <w:t xml:space="preserve">  </w:t>
            </w:r>
          </w:p>
        </w:tc>
      </w:tr>
      <w:tr w:rsidR="006B3163" w14:paraId="360D44EF" w14:textId="77777777" w:rsidTr="007025AB">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EC" w14:textId="77777777" w:rsidR="006B3163" w:rsidRDefault="00027CC4" w:rsidP="007025AB">
            <w:pPr>
              <w:tabs>
                <w:tab w:val="decimal" w:pos="144"/>
              </w:tabs>
              <w:spacing w:after="0" w:line="259" w:lineRule="auto"/>
              <w:ind w:left="0" w:right="112" w:firstLine="0"/>
            </w:pPr>
            <w:r>
              <w:t xml:space="preserve">Alternatives  </w:t>
            </w:r>
          </w:p>
        </w:tc>
        <w:tc>
          <w:tcPr>
            <w:tcW w:w="3353" w:type="dxa"/>
            <w:tcBorders>
              <w:top w:val="single" w:sz="4" w:space="0" w:color="4B4B4B"/>
              <w:left w:val="single" w:sz="4" w:space="0" w:color="4B4B4B"/>
              <w:bottom w:val="single" w:sz="4" w:space="0" w:color="4B4B4B"/>
              <w:right w:val="single" w:sz="4" w:space="0" w:color="4B4B4B"/>
            </w:tcBorders>
          </w:tcPr>
          <w:p w14:paraId="360D44ED" w14:textId="1B79A21A" w:rsidR="006B3163" w:rsidRDefault="00E80582" w:rsidP="002D4983">
            <w:pPr>
              <w:tabs>
                <w:tab w:val="decimal" w:pos="1609"/>
              </w:tabs>
              <w:spacing w:after="0" w:line="259" w:lineRule="auto"/>
              <w:ind w:left="901" w:hanging="426"/>
              <w:jc w:val="both"/>
            </w:pPr>
            <w:r>
              <w:t>2</w:t>
            </w:r>
            <w:r w:rsidR="005D6CBC">
              <w:t>7.5</w:t>
            </w:r>
            <w:r w:rsidR="00027CC4">
              <w:t xml:space="preserve">%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EE" w14:textId="292D7FC3" w:rsidR="006B3163" w:rsidRDefault="00EA3510" w:rsidP="003C417F">
            <w:pPr>
              <w:spacing w:after="0" w:line="259" w:lineRule="auto"/>
              <w:ind w:left="0" w:right="107" w:firstLine="0"/>
              <w:jc w:val="center"/>
            </w:pPr>
            <w:r>
              <w:t>+/- 5% (</w:t>
            </w:r>
            <w:r w:rsidR="00195F05">
              <w:t>2</w:t>
            </w:r>
            <w:r w:rsidR="005D6CBC">
              <w:t>2.5</w:t>
            </w:r>
            <w:r w:rsidR="00027CC4">
              <w:t xml:space="preserve">% - </w:t>
            </w:r>
            <w:r w:rsidR="00195F05">
              <w:t>3</w:t>
            </w:r>
            <w:r w:rsidR="005D6CBC">
              <w:t>2</w:t>
            </w:r>
            <w:r w:rsidR="00027CC4">
              <w:t>.</w:t>
            </w:r>
            <w:r w:rsidR="005D6CBC">
              <w:t>5</w:t>
            </w:r>
            <w:r w:rsidR="00027CC4">
              <w:t>%</w:t>
            </w:r>
            <w:r>
              <w:t>)</w:t>
            </w:r>
            <w:r w:rsidR="00027CC4">
              <w:t xml:space="preserve">  </w:t>
            </w:r>
          </w:p>
        </w:tc>
      </w:tr>
      <w:tr w:rsidR="006B3163" w14:paraId="360D44F3" w14:textId="77777777">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F0" w14:textId="77777777" w:rsidR="006B3163" w:rsidRDefault="00027CC4">
            <w:pPr>
              <w:spacing w:after="0" w:line="259" w:lineRule="auto"/>
              <w:ind w:left="2" w:firstLine="0"/>
            </w:pPr>
            <w:r>
              <w:t xml:space="preserve">Total target Allocation  </w:t>
            </w:r>
          </w:p>
        </w:tc>
        <w:tc>
          <w:tcPr>
            <w:tcW w:w="3353" w:type="dxa"/>
            <w:tcBorders>
              <w:top w:val="single" w:sz="4" w:space="0" w:color="4B4B4B"/>
              <w:left w:val="single" w:sz="4" w:space="0" w:color="4B4B4B"/>
              <w:bottom w:val="single" w:sz="4" w:space="0" w:color="4B4B4B"/>
              <w:right w:val="single" w:sz="4" w:space="0" w:color="4B4B4B"/>
            </w:tcBorders>
          </w:tcPr>
          <w:p w14:paraId="360D44F1" w14:textId="77777777" w:rsidR="006B3163" w:rsidRDefault="00027CC4" w:rsidP="002D4983">
            <w:pPr>
              <w:tabs>
                <w:tab w:val="decimal" w:pos="1609"/>
              </w:tabs>
              <w:spacing w:after="0" w:line="259" w:lineRule="auto"/>
              <w:ind w:left="475" w:firstLine="0"/>
              <w:jc w:val="both"/>
            </w:pPr>
            <w:r>
              <w:t xml:space="preserve">100.0%  </w:t>
            </w:r>
          </w:p>
        </w:tc>
        <w:tc>
          <w:tcPr>
            <w:tcW w:w="3348" w:type="dxa"/>
            <w:tcBorders>
              <w:top w:val="single" w:sz="4" w:space="0" w:color="4B4B4B"/>
              <w:left w:val="single" w:sz="4" w:space="0" w:color="4B4B4B"/>
              <w:bottom w:val="single" w:sz="4" w:space="0" w:color="4B4B4B"/>
              <w:right w:val="single" w:sz="4" w:space="0" w:color="4B4B4B"/>
            </w:tcBorders>
          </w:tcPr>
          <w:p w14:paraId="360D44F2" w14:textId="77777777" w:rsidR="006B3163" w:rsidRDefault="00027CC4">
            <w:pPr>
              <w:spacing w:after="0" w:line="259" w:lineRule="auto"/>
              <w:ind w:left="2" w:firstLine="0"/>
            </w:pPr>
            <w:r>
              <w:t xml:space="preserve">  </w:t>
            </w:r>
          </w:p>
        </w:tc>
      </w:tr>
    </w:tbl>
    <w:p w14:paraId="360D44F4" w14:textId="77777777" w:rsidR="006B3163" w:rsidRDefault="00027CC4">
      <w:pPr>
        <w:spacing w:after="0" w:line="259" w:lineRule="auto"/>
        <w:ind w:left="14" w:firstLine="0"/>
      </w:pPr>
      <w:r>
        <w:t xml:space="preserve">  </w:t>
      </w:r>
    </w:p>
    <w:p w14:paraId="360D44F5" w14:textId="24FC3EF8" w:rsidR="006B3163" w:rsidRDefault="00027CC4">
      <w:pPr>
        <w:ind w:left="9" w:right="198"/>
      </w:pPr>
      <w:r>
        <w:t xml:space="preserve">The tolerance ranges allow for the </w:t>
      </w:r>
      <w:r w:rsidR="0022776F">
        <w:t>short</w:t>
      </w:r>
      <w:r>
        <w:t xml:space="preserve">-term natural deviation from the </w:t>
      </w:r>
      <w:r w:rsidR="0083678E">
        <w:t>target</w:t>
      </w:r>
      <w:r>
        <w:t xml:space="preserve"> allocation due to </w:t>
      </w:r>
      <w:r w:rsidR="00550CE5">
        <w:t xml:space="preserve">the </w:t>
      </w:r>
      <w:r w:rsidR="0083678E">
        <w:t xml:space="preserve">varying </w:t>
      </w:r>
      <w:r>
        <w:t xml:space="preserve">relative performance of each investment type. Exceeded tolerances will be reported in the quarterly performance report to the Investment Sub Committee. </w:t>
      </w:r>
      <w:r w:rsidR="0022776F">
        <w:t xml:space="preserve">Asset class allocations will be rebalanced periodically back to the </w:t>
      </w:r>
      <w:r w:rsidR="0083678E">
        <w:t>target allocation</w:t>
      </w:r>
      <w:r w:rsidR="0022776F">
        <w:t>.</w:t>
      </w:r>
    </w:p>
    <w:p w14:paraId="360D44F6" w14:textId="0834C8C9" w:rsidR="006B3163" w:rsidRDefault="00DB42D6">
      <w:pPr>
        <w:spacing w:after="198"/>
        <w:ind w:left="9" w:right="198"/>
      </w:pPr>
      <w:r>
        <w:t>The</w:t>
      </w:r>
      <w:r w:rsidR="00027CC4">
        <w:t xml:space="preserve"> expected return of </w:t>
      </w:r>
      <w:r w:rsidR="0022776F">
        <w:t xml:space="preserve">the Fund assuming the strategic allocation is maintained </w:t>
      </w:r>
      <w:r>
        <w:t>is</w:t>
      </w:r>
      <w:r w:rsidR="00AD4AF5">
        <w:t xml:space="preserve"> estimated at</w:t>
      </w:r>
      <w:r w:rsidR="00027CC4">
        <w:t xml:space="preserve"> </w:t>
      </w:r>
      <w:r w:rsidR="005D6CBC">
        <w:t>4.4</w:t>
      </w:r>
      <w:r w:rsidR="00027CC4">
        <w:t>% per annum</w:t>
      </w:r>
      <w:r w:rsidR="005D6CBC">
        <w:t xml:space="preserve"> </w:t>
      </w:r>
      <w:r w:rsidR="005D6CBC" w:rsidRPr="005D6CBC">
        <w:t>(based on market conditions at the Actuarial Valuation date of 31 March 2022).</w:t>
      </w:r>
    </w:p>
    <w:p w14:paraId="360D44F7" w14:textId="4BE751B5" w:rsidR="006B3163" w:rsidRPr="00E230F1" w:rsidRDefault="001A533D" w:rsidP="00E230F1">
      <w:pPr>
        <w:pStyle w:val="Heading2"/>
        <w:numPr>
          <w:ilvl w:val="0"/>
          <w:numId w:val="12"/>
        </w:numPr>
        <w:spacing w:after="120" w:line="259" w:lineRule="auto"/>
        <w:rPr>
          <w:color w:val="auto"/>
        </w:rPr>
      </w:pPr>
      <w:bookmarkStart w:id="6" w:name="_Toc77166430"/>
      <w:r w:rsidRPr="00E230F1">
        <w:rPr>
          <w:rFonts w:ascii="Arial" w:hAnsi="Arial" w:cs="Arial"/>
          <w:color w:val="auto"/>
        </w:rPr>
        <w:t>RISKS</w:t>
      </w:r>
      <w:bookmarkEnd w:id="6"/>
      <w:r w:rsidRPr="00E230F1">
        <w:rPr>
          <w:rFonts w:ascii="Arial" w:hAnsi="Arial" w:cs="Arial"/>
          <w:color w:val="auto"/>
        </w:rPr>
        <w:t xml:space="preserve">  </w:t>
      </w:r>
    </w:p>
    <w:p w14:paraId="360D44F8" w14:textId="39F0C9F2" w:rsidR="006B3163" w:rsidRDefault="001A277A">
      <w:pPr>
        <w:spacing w:after="197"/>
        <w:ind w:left="9" w:right="198"/>
      </w:pPr>
      <w:r>
        <w:t>This section considers key investment risks and mitigations</w:t>
      </w:r>
      <w:r w:rsidR="00027CC4">
        <w:t xml:space="preserve">.  </w:t>
      </w:r>
    </w:p>
    <w:p w14:paraId="360D44F9" w14:textId="6A8069A6" w:rsidR="006B3163" w:rsidRPr="00E230F1" w:rsidRDefault="001A533D" w:rsidP="002D4983">
      <w:pPr>
        <w:pStyle w:val="Heading3"/>
        <w:numPr>
          <w:ilvl w:val="1"/>
          <w:numId w:val="12"/>
        </w:numPr>
        <w:ind w:left="426"/>
        <w:rPr>
          <w:color w:val="auto"/>
        </w:rPr>
      </w:pPr>
      <w:bookmarkStart w:id="7" w:name="_Toc77166431"/>
      <w:r w:rsidRPr="00E230F1">
        <w:rPr>
          <w:rFonts w:ascii="Arial" w:hAnsi="Arial" w:cs="Arial"/>
          <w:color w:val="auto"/>
        </w:rPr>
        <w:t>INVESTMENT RISKS</w:t>
      </w:r>
      <w:bookmarkEnd w:id="7"/>
      <w:r w:rsidRPr="00E230F1">
        <w:rPr>
          <w:rFonts w:ascii="Arial" w:hAnsi="Arial" w:cs="Arial"/>
          <w:color w:val="auto"/>
        </w:rPr>
        <w:t xml:space="preserve">  </w:t>
      </w:r>
    </w:p>
    <w:p w14:paraId="73355BB4" w14:textId="77777777" w:rsidR="005D6CBC" w:rsidRDefault="005D6CBC" w:rsidP="005D6CBC">
      <w:pPr>
        <w:spacing w:after="120" w:line="259" w:lineRule="auto"/>
        <w:ind w:left="11" w:right="198" w:hanging="11"/>
      </w:pPr>
      <w:r>
        <w:t>As an illustration of risk, the impact on the Fund’s funding position of a market “shock scenario” was calculated at the Actuarial Valuation date of 31 March 2022.</w:t>
      </w:r>
    </w:p>
    <w:p w14:paraId="610BF5EF" w14:textId="77777777" w:rsidR="005D6CBC" w:rsidRDefault="005D6CBC" w:rsidP="005D6CBC">
      <w:pPr>
        <w:spacing w:after="120" w:line="259" w:lineRule="auto"/>
        <w:ind w:left="11" w:right="198" w:hanging="11"/>
      </w:pPr>
      <w:r>
        <w:t>Shock scenario</w:t>
      </w:r>
    </w:p>
    <w:p w14:paraId="22E6C13F" w14:textId="16DD4850" w:rsidR="005D6CBC" w:rsidRDefault="005D6CBC" w:rsidP="005D6CBC">
      <w:pPr>
        <w:spacing w:after="120" w:line="259" w:lineRule="auto"/>
        <w:ind w:left="11" w:right="198" w:hanging="11"/>
      </w:pPr>
      <w:r>
        <w:t>•</w:t>
      </w:r>
      <w:r>
        <w:tab/>
        <w:t>Equities (including private equity) fall 30%</w:t>
      </w:r>
    </w:p>
    <w:p w14:paraId="09904530" w14:textId="77777777" w:rsidR="005D6CBC" w:rsidRDefault="005D6CBC" w:rsidP="005D6CBC">
      <w:pPr>
        <w:spacing w:after="120" w:line="259" w:lineRule="auto"/>
        <w:ind w:left="11" w:right="198" w:hanging="11"/>
      </w:pPr>
      <w:r>
        <w:t>•</w:t>
      </w:r>
      <w:r>
        <w:tab/>
        <w:t>Multi Asset Credit and alternatives (infrastructure, property) fall 12.5%</w:t>
      </w:r>
    </w:p>
    <w:p w14:paraId="7EBAF7DC" w14:textId="77777777" w:rsidR="005D6CBC" w:rsidRDefault="005D6CBC" w:rsidP="005D6CBC">
      <w:pPr>
        <w:spacing w:after="120" w:line="259" w:lineRule="auto"/>
        <w:ind w:left="11" w:right="198" w:hanging="11"/>
      </w:pPr>
      <w:r>
        <w:t>•</w:t>
      </w:r>
      <w:r>
        <w:tab/>
        <w:t>Inflation expectations rise 0.5%</w:t>
      </w:r>
    </w:p>
    <w:p w14:paraId="65C3A051" w14:textId="77777777" w:rsidR="005D6CBC" w:rsidRDefault="005D6CBC" w:rsidP="005D6CBC">
      <w:pPr>
        <w:spacing w:after="120" w:line="259" w:lineRule="auto"/>
        <w:ind w:left="11" w:right="198" w:hanging="11"/>
      </w:pPr>
      <w:r>
        <w:t>•</w:t>
      </w:r>
      <w:r>
        <w:tab/>
        <w:t>Long term interest rates fall 1%</w:t>
      </w:r>
    </w:p>
    <w:p w14:paraId="1CEA24C3" w14:textId="77777777" w:rsidR="005D6CBC" w:rsidRDefault="005D6CBC" w:rsidP="005D6CBC">
      <w:pPr>
        <w:spacing w:after="120" w:line="259" w:lineRule="auto"/>
        <w:ind w:left="11" w:right="198" w:hanging="11"/>
      </w:pPr>
      <w:r>
        <w:t>Impact on funding position</w:t>
      </w:r>
    </w:p>
    <w:p w14:paraId="5D90FE71" w14:textId="2076CC57" w:rsidR="005D6CBC" w:rsidRDefault="005D6CBC" w:rsidP="005D6CBC">
      <w:pPr>
        <w:spacing w:after="120" w:line="259" w:lineRule="auto"/>
        <w:ind w:left="11" w:right="198" w:hanging="11"/>
      </w:pPr>
      <w:r>
        <w:t>•</w:t>
      </w:r>
      <w:r>
        <w:tab/>
        <w:t>The market “shock scenario” is estimated to result in a deterioration in funding level from 1</w:t>
      </w:r>
      <w:r w:rsidR="00B74496">
        <w:t>13</w:t>
      </w:r>
      <w:r>
        <w:t xml:space="preserve">% to </w:t>
      </w:r>
      <w:r w:rsidR="00B74496">
        <w:t>80</w:t>
      </w:r>
      <w:r>
        <w:t xml:space="preserve">% at the Actuarial Valuation date of 31 March 2022. </w:t>
      </w:r>
    </w:p>
    <w:p w14:paraId="7FC11F99" w14:textId="77777777" w:rsidR="005D6CBC" w:rsidRDefault="005D6CBC" w:rsidP="005D6CBC">
      <w:pPr>
        <w:spacing w:after="120" w:line="259" w:lineRule="auto"/>
        <w:ind w:left="11" w:right="198" w:hanging="11"/>
      </w:pPr>
      <w:r>
        <w:lastRenderedPageBreak/>
        <w:t>•</w:t>
      </w:r>
      <w:r>
        <w:tab/>
        <w:t xml:space="preserve">The key driver of this shortfall is equity risk, given the large allocation and expected volatility, although inflation and interest rates are also key. </w:t>
      </w:r>
    </w:p>
    <w:p w14:paraId="360D450D" w14:textId="45BE93A8" w:rsidR="006B3163" w:rsidRDefault="00027CC4" w:rsidP="005D6CBC">
      <w:pPr>
        <w:spacing w:after="120" w:line="259" w:lineRule="auto"/>
        <w:ind w:left="11" w:right="198" w:hanging="11"/>
      </w:pPr>
      <w:r w:rsidRPr="00E230F1">
        <w:t>Liabilities (interest rate and inflation)</w:t>
      </w:r>
      <w:r>
        <w:rPr>
          <w:b/>
        </w:rPr>
        <w:t xml:space="preserve"> </w:t>
      </w:r>
      <w:r>
        <w:t xml:space="preserve">– The largest risk that the Fund faces is in relation to interest rates and inflation.  The investment strategy recognises this and </w:t>
      </w:r>
      <w:r w:rsidR="00B74496">
        <w:t xml:space="preserve">allocates </w:t>
      </w:r>
      <w:r>
        <w:t>to assets that provide protection against falling rates and rising inflation expectations, which is considered appropriate in the context of the Fund’s position as a long-term investor.</w:t>
      </w:r>
    </w:p>
    <w:p w14:paraId="360D450F" w14:textId="0BCC9E5D" w:rsidR="006B3163" w:rsidRDefault="00027CC4" w:rsidP="00E230F1">
      <w:pPr>
        <w:spacing w:after="120" w:line="259" w:lineRule="auto"/>
        <w:ind w:left="11" w:hanging="11"/>
      </w:pPr>
      <w:r w:rsidRPr="00E230F1">
        <w:t>Equities</w:t>
      </w:r>
      <w:r w:rsidRPr="001A533D">
        <w:t xml:space="preserve"> –</w:t>
      </w:r>
      <w:r>
        <w:t xml:space="preserve"> Should equity market conditions deteriorate significantly this will have a negative impact on the funding level. The Fund holds equities </w:t>
      </w:r>
      <w:proofErr w:type="gramStart"/>
      <w:r>
        <w:t>in order to</w:t>
      </w:r>
      <w:proofErr w:type="gramEnd"/>
      <w:r>
        <w:t xml:space="preserve"> provide the necessary returns to ensure that the Fund remains affordable. The Committee believes that the extra returns that are expected to be generated by equities compensates the level of risk equities bring to the Fund, but does believe in diversification, and looks to mitigate equity risk by investing significantly in bonds and alternatives.</w:t>
      </w:r>
    </w:p>
    <w:p w14:paraId="360D4512" w14:textId="7FC262B2" w:rsidR="006B3163" w:rsidRDefault="00027CC4" w:rsidP="00A73E98">
      <w:pPr>
        <w:spacing w:after="240" w:line="259" w:lineRule="auto"/>
      </w:pPr>
      <w:r w:rsidRPr="00E230F1">
        <w:t>Alternatives</w:t>
      </w:r>
      <w:r w:rsidRPr="001A533D">
        <w:t xml:space="preserve"> </w:t>
      </w:r>
      <w:r>
        <w:t xml:space="preserve">– The Fund has a significant amount of assets allocated to a range of alternatives, with allocations to property and private equity, amongst others. The risks that these investments bring at an individual level is not insignificant however the Committee believe that over the </w:t>
      </w:r>
      <w:proofErr w:type="gramStart"/>
      <w:r w:rsidR="007025AB">
        <w:t>long term</w:t>
      </w:r>
      <w:proofErr w:type="gramEnd"/>
      <w:r>
        <w:t xml:space="preserve"> alternatives will provide returns that compensate for the risks being run. </w:t>
      </w:r>
      <w:r w:rsidR="004604D8">
        <w:t>Additionally,</w:t>
      </w:r>
      <w:r>
        <w:t xml:space="preserve"> the level of diversification the assets provide helps to reduce the Funds reliance on returns from equities.  Illiquid assets such as property and </w:t>
      </w:r>
      <w:r w:rsidR="00E609C7">
        <w:t>infrastructure</w:t>
      </w:r>
      <w:r>
        <w:t xml:space="preserve"> also </w:t>
      </w:r>
      <w:r w:rsidR="001A277A">
        <w:t>provide regular cash returns in addition to capital appreciation</w:t>
      </w:r>
      <w:r>
        <w:t>.</w:t>
      </w:r>
      <w:r w:rsidR="00B74496">
        <w:t xml:space="preserve"> </w:t>
      </w:r>
      <w:r w:rsidR="00B74496" w:rsidRPr="00B74496">
        <w:t>The Fund is considering Timber/Forestry and impact investing within alternatives asset class which will align with the Funds Climate Action Plan for sustainable investments</w:t>
      </w:r>
      <w:r w:rsidR="00B74496">
        <w:t>.</w:t>
      </w:r>
    </w:p>
    <w:p w14:paraId="360D4514" w14:textId="7B5CBC25" w:rsidR="006B3163" w:rsidRDefault="00027CC4" w:rsidP="00A73E98">
      <w:pPr>
        <w:spacing w:after="240"/>
        <w:ind w:left="9" w:right="198"/>
      </w:pPr>
      <w:r>
        <w:t xml:space="preserve">The Fund’s portfolio is well diversified across asset classes, </w:t>
      </w:r>
      <w:proofErr w:type="gramStart"/>
      <w:r>
        <w:t>geography</w:t>
      </w:r>
      <w:proofErr w:type="gramEnd"/>
      <w:r>
        <w:t xml:space="preserve"> and asset managers. As different asset classes have varying correlations with other asset classes, the Fund by investing in a range of different investments can minimise the level of risk run to a degree.</w:t>
      </w:r>
    </w:p>
    <w:p w14:paraId="360D4516" w14:textId="1E16715C" w:rsidR="006B3163" w:rsidRDefault="00027CC4" w:rsidP="00E230F1">
      <w:pPr>
        <w:spacing w:after="120"/>
        <w:ind w:left="9" w:right="198"/>
      </w:pPr>
      <w:r w:rsidRPr="00E230F1">
        <w:t>Passive Manager Risk –</w:t>
      </w:r>
      <w:r>
        <w:rPr>
          <w:b/>
          <w:i/>
        </w:rPr>
        <w:t xml:space="preserve"> </w:t>
      </w:r>
      <w:r>
        <w:t xml:space="preserve">This is the simplest style of investment which places monies purely to track indices with the associated risks of following the full effects of both positive and negative market movements benefiting from the most </w:t>
      </w:r>
      <w:r w:rsidR="001A277A">
        <w:t xml:space="preserve">economical </w:t>
      </w:r>
      <w:r>
        <w:t>fee rates. This contrasts to active management which is applied to smooth volatility and improve market returns albeit at higher fee rates, the assumption being that the net return after fees is greater than pure passive management.</w:t>
      </w:r>
    </w:p>
    <w:p w14:paraId="360D4518" w14:textId="3D5F93E8" w:rsidR="006B3163" w:rsidRDefault="00027CC4" w:rsidP="00E230F1">
      <w:pPr>
        <w:spacing w:after="120"/>
        <w:ind w:left="9" w:right="198"/>
      </w:pPr>
      <w:r w:rsidRPr="00E230F1">
        <w:t>Active Manager Risk</w:t>
      </w:r>
      <w:r>
        <w:t xml:space="preserve"> – Active Investment Managers are appointed to manage the Fund’s investments on its behalf in the expectation that they will outperform the market but also recognising that their mandates may underperform passive managers.  </w:t>
      </w:r>
      <w:r w:rsidR="00B74496">
        <w:t xml:space="preserve">The expected magnitude of this </w:t>
      </w:r>
      <w:r>
        <w:t xml:space="preserve">risk is small relative to other risks; </w:t>
      </w:r>
      <w:r w:rsidR="004604D8">
        <w:t>however,</w:t>
      </w:r>
      <w:r>
        <w:t xml:space="preserve"> the Fund still addresses this risk.  Extensive due diligence takes place before </w:t>
      </w:r>
      <w:r w:rsidR="0020005A">
        <w:t xml:space="preserve">investment </w:t>
      </w:r>
      <w:r>
        <w:t xml:space="preserve">managers are appointed. The investment managers are also monitored regularly by the Investment Sub Committee, Officers and by the Fund’s Advisors. There is a risk that net performance </w:t>
      </w:r>
      <w:r w:rsidR="0020005A">
        <w:t xml:space="preserve">of Active Investment Managers </w:t>
      </w:r>
      <w:r>
        <w:t xml:space="preserve">underperforms a passive arrangement over the long-term.  </w:t>
      </w:r>
    </w:p>
    <w:p w14:paraId="360D451A" w14:textId="6392032C" w:rsidR="006B3163" w:rsidRDefault="00027CC4" w:rsidP="00E230F1">
      <w:pPr>
        <w:spacing w:after="120" w:line="259" w:lineRule="auto"/>
        <w:ind w:left="0" w:firstLine="0"/>
      </w:pPr>
      <w:r w:rsidRPr="00E230F1">
        <w:t>Liquidity risk</w:t>
      </w:r>
      <w:r>
        <w:t xml:space="preserve"> –</w:t>
      </w:r>
      <w:r>
        <w:rPr>
          <w:b/>
        </w:rPr>
        <w:t xml:space="preserve"> </w:t>
      </w:r>
      <w:r>
        <w:t>It is recognised that there is liquidity risk in holding assets that are not readily marketable and realisable. Given the long-term investment horizon, the Committee believes that a degree of liquidity risk is acceptable given the potential for accessing higher returns. The majority of the Fund’s assets</w:t>
      </w:r>
      <w:r w:rsidR="001A277A">
        <w:t xml:space="preserve">, however, remain </w:t>
      </w:r>
      <w:r>
        <w:t xml:space="preserve">realisable at short notice. </w:t>
      </w:r>
    </w:p>
    <w:p w14:paraId="360D451D" w14:textId="2F591726" w:rsidR="006B3163" w:rsidRDefault="00027CC4" w:rsidP="00A73E98">
      <w:pPr>
        <w:spacing w:after="240" w:line="259" w:lineRule="auto"/>
        <w:ind w:left="14" w:firstLine="0"/>
      </w:pPr>
      <w:r w:rsidRPr="00E230F1">
        <w:t>Exchange rate risk</w:t>
      </w:r>
      <w:r>
        <w:rPr>
          <w:b/>
        </w:rPr>
        <w:t xml:space="preserve"> </w:t>
      </w:r>
      <w:r>
        <w:t xml:space="preserve">– This risk arises from unhedged investment overseas. The Committee believes that a long-term investor can tolerate </w:t>
      </w:r>
      <w:r w:rsidR="001A277A">
        <w:t xml:space="preserve">a degree of </w:t>
      </w:r>
      <w:proofErr w:type="gramStart"/>
      <w:r>
        <w:t>short term</w:t>
      </w:r>
      <w:proofErr w:type="gramEnd"/>
      <w:r>
        <w:t xml:space="preserve"> fluctuations in currency movements</w:t>
      </w:r>
      <w:r w:rsidR="00E609C7">
        <w:t xml:space="preserve">, </w:t>
      </w:r>
      <w:r>
        <w:lastRenderedPageBreak/>
        <w:t xml:space="preserve">particularly with reference to the Fund’s equity portfolio </w:t>
      </w:r>
      <w:r w:rsidR="00B74496" w:rsidRPr="00B74496">
        <w:t>but may look to hedge currency risk where appropriate.</w:t>
      </w:r>
    </w:p>
    <w:p w14:paraId="7C7043BA" w14:textId="77777777" w:rsidR="00D34AEA" w:rsidRDefault="00D34AEA" w:rsidP="002D4983">
      <w:pPr>
        <w:pStyle w:val="Heading3"/>
        <w:numPr>
          <w:ilvl w:val="1"/>
          <w:numId w:val="12"/>
        </w:numPr>
        <w:ind w:left="0" w:firstLine="66"/>
        <w:rPr>
          <w:rFonts w:ascii="Arial" w:hAnsi="Arial" w:cs="Arial"/>
          <w:color w:val="auto"/>
        </w:rPr>
      </w:pPr>
      <w:bookmarkStart w:id="8" w:name="_Toc77166432"/>
      <w:r>
        <w:rPr>
          <w:rFonts w:ascii="Arial" w:hAnsi="Arial" w:cs="Arial"/>
          <w:color w:val="auto"/>
        </w:rPr>
        <w:t>CLIMATE RISK</w:t>
      </w:r>
    </w:p>
    <w:p w14:paraId="63ED2881" w14:textId="24E17C62" w:rsidR="00D34AEA" w:rsidRDefault="009D7553" w:rsidP="002D4983">
      <w:pPr>
        <w:spacing w:after="240"/>
        <w:ind w:left="9" w:right="198"/>
      </w:pPr>
      <w:r>
        <w:t xml:space="preserve">The Fund has acknowledged the risk </w:t>
      </w:r>
      <w:r w:rsidR="00077022">
        <w:t xml:space="preserve">to the Fund of climate change </w:t>
      </w:r>
      <w:r>
        <w:t>in its Risk Register: “</w:t>
      </w:r>
      <w:r w:rsidR="00D34AEA" w:rsidRPr="0083678E">
        <w:t>As long-term investors, the Fund believes climate risk has the potential to significantly alter the value of the Fund’s investments.</w:t>
      </w:r>
      <w:r>
        <w:t>”</w:t>
      </w:r>
    </w:p>
    <w:p w14:paraId="091E9784" w14:textId="1F3DEA3A" w:rsidR="00150C2E" w:rsidRPr="002D4983" w:rsidRDefault="00077022" w:rsidP="002D4983">
      <w:pPr>
        <w:spacing w:after="240"/>
        <w:ind w:left="9" w:right="198"/>
      </w:pPr>
      <w:r w:rsidRPr="002D4983">
        <w:rPr>
          <w:sz w:val="24"/>
          <w:szCs w:val="24"/>
        </w:rPr>
        <w:t xml:space="preserve">The risks to the </w:t>
      </w:r>
      <w:r w:rsidR="00150C2E" w:rsidRPr="002D4983">
        <w:rPr>
          <w:sz w:val="24"/>
          <w:szCs w:val="24"/>
        </w:rPr>
        <w:t xml:space="preserve">value of the </w:t>
      </w:r>
      <w:r w:rsidRPr="002D4983">
        <w:rPr>
          <w:sz w:val="24"/>
          <w:szCs w:val="24"/>
        </w:rPr>
        <w:t xml:space="preserve">Fund’s investments arising from climate change arise from </w:t>
      </w:r>
      <w:r w:rsidR="00150C2E" w:rsidRPr="002D4983">
        <w:rPr>
          <w:sz w:val="24"/>
          <w:szCs w:val="24"/>
        </w:rPr>
        <w:t>exposures to</w:t>
      </w:r>
      <w:r w:rsidRPr="002D4983">
        <w:rPr>
          <w:sz w:val="24"/>
          <w:szCs w:val="24"/>
        </w:rPr>
        <w:t xml:space="preserve"> industries or companies that</w:t>
      </w:r>
      <w:r w:rsidR="00176EA5" w:rsidRPr="002D4983">
        <w:rPr>
          <w:sz w:val="24"/>
          <w:szCs w:val="24"/>
        </w:rPr>
        <w:t xml:space="preserve"> are valued </w:t>
      </w:r>
      <w:proofErr w:type="gramStart"/>
      <w:r w:rsidR="00176EA5" w:rsidRPr="002D4983">
        <w:rPr>
          <w:sz w:val="24"/>
          <w:szCs w:val="24"/>
        </w:rPr>
        <w:t>on the basis of</w:t>
      </w:r>
      <w:proofErr w:type="gramEnd"/>
      <w:r w:rsidR="00176EA5" w:rsidRPr="002D4983">
        <w:rPr>
          <w:sz w:val="24"/>
          <w:szCs w:val="24"/>
        </w:rPr>
        <w:t xml:space="preserve"> business models that may </w:t>
      </w:r>
      <w:r w:rsidR="007F111F">
        <w:rPr>
          <w:sz w:val="24"/>
          <w:szCs w:val="24"/>
        </w:rPr>
        <w:t xml:space="preserve">be </w:t>
      </w:r>
      <w:r w:rsidR="00150C2E" w:rsidRPr="002D4983">
        <w:rPr>
          <w:sz w:val="24"/>
          <w:szCs w:val="24"/>
        </w:rPr>
        <w:t xml:space="preserve">threatened by </w:t>
      </w:r>
      <w:r w:rsidR="00176EA5" w:rsidRPr="002D4983">
        <w:rPr>
          <w:sz w:val="24"/>
          <w:szCs w:val="24"/>
        </w:rPr>
        <w:t xml:space="preserve">climate change, or based upon reserves of assets that may never be realised </w:t>
      </w:r>
      <w:r w:rsidR="00150C2E" w:rsidRPr="002D4983">
        <w:rPr>
          <w:sz w:val="24"/>
          <w:szCs w:val="24"/>
        </w:rPr>
        <w:t xml:space="preserve">due to changes in technology, markets and societal habits arising from climate change </w:t>
      </w:r>
      <w:r w:rsidR="00176EA5" w:rsidRPr="002D4983">
        <w:rPr>
          <w:sz w:val="24"/>
          <w:szCs w:val="24"/>
        </w:rPr>
        <w:t>(“s</w:t>
      </w:r>
      <w:r w:rsidRPr="002D4983">
        <w:rPr>
          <w:sz w:val="24"/>
          <w:szCs w:val="24"/>
        </w:rPr>
        <w:t>tranded assets</w:t>
      </w:r>
      <w:r w:rsidR="00176EA5" w:rsidRPr="002D4983">
        <w:rPr>
          <w:sz w:val="24"/>
          <w:szCs w:val="24"/>
        </w:rPr>
        <w:t xml:space="preserve">”). The </w:t>
      </w:r>
      <w:r w:rsidR="00150C2E" w:rsidRPr="002D4983">
        <w:rPr>
          <w:sz w:val="24"/>
          <w:szCs w:val="24"/>
        </w:rPr>
        <w:t xml:space="preserve">incidence </w:t>
      </w:r>
      <w:r w:rsidR="00176EA5" w:rsidRPr="002D4983">
        <w:rPr>
          <w:sz w:val="24"/>
          <w:szCs w:val="24"/>
        </w:rPr>
        <w:t xml:space="preserve">and timing of </w:t>
      </w:r>
      <w:r w:rsidR="00150C2E" w:rsidRPr="002D4983">
        <w:rPr>
          <w:sz w:val="24"/>
          <w:szCs w:val="24"/>
        </w:rPr>
        <w:t>changes in value n</w:t>
      </w:r>
      <w:r w:rsidR="00BC2560">
        <w:rPr>
          <w:sz w:val="24"/>
          <w:szCs w:val="24"/>
        </w:rPr>
        <w:t>e</w:t>
      </w:r>
      <w:r w:rsidR="00150C2E" w:rsidRPr="002D4983">
        <w:rPr>
          <w:sz w:val="24"/>
          <w:szCs w:val="24"/>
        </w:rPr>
        <w:t>ed to be analysed further</w:t>
      </w:r>
      <w:r w:rsidR="00BC2560">
        <w:rPr>
          <w:sz w:val="24"/>
          <w:szCs w:val="24"/>
        </w:rPr>
        <w:t xml:space="preserve"> to understand the risks to the Fund</w:t>
      </w:r>
      <w:r w:rsidR="00150C2E" w:rsidRPr="002D4983">
        <w:rPr>
          <w:sz w:val="24"/>
          <w:szCs w:val="24"/>
        </w:rPr>
        <w:t xml:space="preserve">. </w:t>
      </w:r>
    </w:p>
    <w:p w14:paraId="2AF1C56B" w14:textId="48B42B61" w:rsidR="00D34AEA" w:rsidRPr="002D4983" w:rsidRDefault="00150C2E" w:rsidP="002D4983">
      <w:pPr>
        <w:spacing w:after="240"/>
        <w:ind w:left="9" w:right="198"/>
      </w:pPr>
      <w:r w:rsidRPr="002D4983">
        <w:rPr>
          <w:sz w:val="24"/>
          <w:szCs w:val="24"/>
        </w:rPr>
        <w:t>Conversely there may be opportunities to invest in new industries or technologies that assist in mitigating the speed of climate change</w:t>
      </w:r>
      <w:r w:rsidR="00B74496" w:rsidRPr="00B74496">
        <w:t xml:space="preserve"> </w:t>
      </w:r>
      <w:r w:rsidR="00B74496" w:rsidRPr="00B74496">
        <w:rPr>
          <w:sz w:val="24"/>
          <w:szCs w:val="24"/>
        </w:rPr>
        <w:t xml:space="preserve">and the Committee will consider such investments over time. </w:t>
      </w:r>
      <w:r w:rsidRPr="002D4983">
        <w:rPr>
          <w:sz w:val="24"/>
          <w:szCs w:val="24"/>
        </w:rPr>
        <w:t xml:space="preserve"> </w:t>
      </w:r>
    </w:p>
    <w:p w14:paraId="360D451E" w14:textId="27E0536C" w:rsidR="006B3163" w:rsidRPr="002D4983" w:rsidRDefault="00FE7307" w:rsidP="002D4983">
      <w:pPr>
        <w:pStyle w:val="Heading3"/>
        <w:numPr>
          <w:ilvl w:val="1"/>
          <w:numId w:val="12"/>
        </w:numPr>
        <w:ind w:left="426"/>
        <w:rPr>
          <w:rFonts w:ascii="Arial" w:hAnsi="Arial" w:cs="Arial"/>
          <w:color w:val="auto"/>
        </w:rPr>
      </w:pPr>
      <w:r w:rsidRPr="00E230F1">
        <w:rPr>
          <w:rFonts w:ascii="Arial" w:hAnsi="Arial" w:cs="Arial"/>
          <w:color w:val="auto"/>
        </w:rPr>
        <w:t>DEMOGRAPHIC RISK</w:t>
      </w:r>
      <w:bookmarkEnd w:id="8"/>
    </w:p>
    <w:p w14:paraId="360D451F" w14:textId="66D86C21" w:rsidR="006B3163" w:rsidRDefault="00027CC4" w:rsidP="00AC72BE">
      <w:pPr>
        <w:spacing w:after="240"/>
        <w:ind w:left="9" w:right="198"/>
      </w:pPr>
      <w:r>
        <w:t xml:space="preserve">The Fund is subject to a range of demographic risks, but with </w:t>
      </w:r>
      <w:proofErr w:type="gramStart"/>
      <w:r>
        <w:t>particular reference</w:t>
      </w:r>
      <w:proofErr w:type="gramEnd"/>
      <w:r>
        <w:t xml:space="preserve"> to investment strategy, the Committee is aware of the potential for the Fund to mature over time as the pensioner liability increases.   A mature pension fund is likely to take less investment risk over time and this is considered at each strategy review.  The more mature a pension fund, the more likely it is that investments would need to be realised </w:t>
      </w:r>
      <w:proofErr w:type="gramStart"/>
      <w:r>
        <w:t>in order to</w:t>
      </w:r>
      <w:proofErr w:type="gramEnd"/>
      <w:r>
        <w:t xml:space="preserve"> pay benefits.  The Fund is not in that situation at present as cash inflows from contributions and investments are greater than benefit payments.  However, this situation is monitored regularly and formally as part of the </w:t>
      </w:r>
      <w:r w:rsidR="0020005A">
        <w:t xml:space="preserve">triennial </w:t>
      </w:r>
      <w:r>
        <w:t>actuarial valuation and strategy review.</w:t>
      </w:r>
    </w:p>
    <w:p w14:paraId="360D4520" w14:textId="210A7362" w:rsidR="006B3163" w:rsidRPr="002D4983" w:rsidRDefault="00FE7307" w:rsidP="002D4983">
      <w:pPr>
        <w:pStyle w:val="Heading3"/>
        <w:numPr>
          <w:ilvl w:val="1"/>
          <w:numId w:val="12"/>
        </w:numPr>
        <w:ind w:left="426"/>
        <w:rPr>
          <w:rFonts w:ascii="Arial" w:hAnsi="Arial" w:cs="Arial"/>
          <w:color w:val="auto"/>
        </w:rPr>
      </w:pPr>
      <w:bookmarkStart w:id="9" w:name="_Toc77166433"/>
      <w:r w:rsidRPr="00FE7307">
        <w:rPr>
          <w:rFonts w:ascii="Arial" w:hAnsi="Arial" w:cs="Arial"/>
          <w:color w:val="auto"/>
        </w:rPr>
        <w:t>CASHFLOW MANAGEMENT RISKS</w:t>
      </w:r>
      <w:bookmarkEnd w:id="9"/>
      <w:r w:rsidRPr="00FE7307">
        <w:rPr>
          <w:rFonts w:ascii="Arial" w:hAnsi="Arial" w:cs="Arial"/>
          <w:color w:val="auto"/>
        </w:rPr>
        <w:t xml:space="preserve">  </w:t>
      </w:r>
    </w:p>
    <w:p w14:paraId="360D4521" w14:textId="443FF651" w:rsidR="006B3163" w:rsidRDefault="00027CC4">
      <w:pPr>
        <w:spacing w:after="219"/>
        <w:ind w:left="9" w:right="198"/>
      </w:pPr>
      <w:r>
        <w:t xml:space="preserve">The Fund is gradually becoming more mature and although it is </w:t>
      </w:r>
      <w:r w:rsidR="004604D8">
        <w:t>cash flow</w:t>
      </w:r>
      <w:r>
        <w:t xml:space="preserve"> positive after </w:t>
      </w:r>
      <w:proofErr w:type="gramStart"/>
      <w:r>
        <w:t xml:space="preserve">taking </w:t>
      </w:r>
      <w:r w:rsidR="0020005A">
        <w:t>into account</w:t>
      </w:r>
      <w:proofErr w:type="gramEnd"/>
      <w:r w:rsidR="0020005A">
        <w:t xml:space="preserve"> </w:t>
      </w:r>
      <w:r>
        <w:t xml:space="preserve">investment income, managing </w:t>
      </w:r>
      <w:r w:rsidR="004604D8">
        <w:t>cash flow</w:t>
      </w:r>
      <w:r>
        <w:t xml:space="preserve"> will become an increasingly important consideration in setting the investment strategy</w:t>
      </w:r>
      <w:r w:rsidR="008140CA">
        <w:t>, to ensure that the Fund holds sufficient liquid investments to pay benefits as they fall due</w:t>
      </w:r>
      <w:r>
        <w:t>.</w:t>
      </w:r>
    </w:p>
    <w:p w14:paraId="360D4522" w14:textId="10F83087" w:rsidR="006B3163" w:rsidRPr="002D4983" w:rsidRDefault="00FE7307" w:rsidP="002D4983">
      <w:pPr>
        <w:pStyle w:val="Heading3"/>
        <w:numPr>
          <w:ilvl w:val="1"/>
          <w:numId w:val="12"/>
        </w:numPr>
        <w:ind w:left="426"/>
        <w:rPr>
          <w:rFonts w:ascii="Arial" w:hAnsi="Arial" w:cs="Arial"/>
          <w:color w:val="auto"/>
        </w:rPr>
      </w:pPr>
      <w:bookmarkStart w:id="10" w:name="_Toc77166434"/>
      <w:r w:rsidRPr="00FE7307">
        <w:rPr>
          <w:rFonts w:ascii="Arial" w:hAnsi="Arial" w:cs="Arial"/>
          <w:color w:val="auto"/>
        </w:rPr>
        <w:t>GOVERNANCE RISKS</w:t>
      </w:r>
      <w:bookmarkEnd w:id="10"/>
      <w:r w:rsidRPr="00FE7307">
        <w:rPr>
          <w:rFonts w:ascii="Arial" w:hAnsi="Arial" w:cs="Arial"/>
          <w:color w:val="auto"/>
        </w:rPr>
        <w:t xml:space="preserve">  </w:t>
      </w:r>
    </w:p>
    <w:p w14:paraId="360D4523" w14:textId="2602D3F1" w:rsidR="006B3163" w:rsidRDefault="00027CC4">
      <w:pPr>
        <w:spacing w:after="144"/>
        <w:ind w:left="9" w:right="198"/>
      </w:pPr>
      <w:r>
        <w:t xml:space="preserve">The Fund believes that there is a benefit to the Fund to be gained from good governance in the form of either or both of an increased return and/or decreased risk.  Poor governance can lead to opportunities and risks to be </w:t>
      </w:r>
      <w:proofErr w:type="gramStart"/>
      <w:r>
        <w:t>missed, and</w:t>
      </w:r>
      <w:proofErr w:type="gramEnd"/>
      <w:r>
        <w:t xml:space="preserve"> have a detrimental effect on the funding level and deficit.</w:t>
      </w:r>
    </w:p>
    <w:p w14:paraId="360D4529" w14:textId="5589940C" w:rsidR="006B3163" w:rsidRDefault="00027CC4" w:rsidP="00AC72BE">
      <w:pPr>
        <w:spacing w:after="240" w:line="259" w:lineRule="auto"/>
        <w:ind w:left="11" w:firstLine="0"/>
      </w:pPr>
      <w:r>
        <w:t xml:space="preserve">Details of the Fund’s governance structure can be found in the </w:t>
      </w:r>
      <w:hyperlink r:id="rId19">
        <w:r w:rsidRPr="007025AB">
          <w:t>Governance Complianc</w:t>
        </w:r>
      </w:hyperlink>
      <w:hyperlink r:id="rId20">
        <w:r w:rsidRPr="007025AB">
          <w:t>e</w:t>
        </w:r>
      </w:hyperlink>
      <w:hyperlink r:id="rId21">
        <w:r w:rsidRPr="00027CC4">
          <w:t xml:space="preserve"> </w:t>
        </w:r>
      </w:hyperlink>
      <w:hyperlink r:id="rId22">
        <w:r w:rsidRPr="007025AB">
          <w:t>Statemen</w:t>
        </w:r>
      </w:hyperlink>
      <w:hyperlink r:id="rId23">
        <w:r w:rsidRPr="007025AB">
          <w:t>t</w:t>
        </w:r>
      </w:hyperlink>
      <w:hyperlink r:id="rId24">
        <w:r w:rsidRPr="00027CC4">
          <w:t>.</w:t>
        </w:r>
      </w:hyperlink>
      <w:hyperlink r:id="rId25">
        <w:r w:rsidRPr="00495826">
          <w:t xml:space="preserve"> </w:t>
        </w:r>
      </w:hyperlink>
    </w:p>
    <w:p w14:paraId="360D452A" w14:textId="77BC0A90" w:rsidR="006B3163" w:rsidRPr="00E230F1" w:rsidRDefault="00FE7307" w:rsidP="00E230F1">
      <w:pPr>
        <w:pStyle w:val="Heading2"/>
        <w:numPr>
          <w:ilvl w:val="0"/>
          <w:numId w:val="12"/>
        </w:numPr>
        <w:spacing w:after="120" w:line="259" w:lineRule="auto"/>
        <w:rPr>
          <w:color w:val="auto"/>
        </w:rPr>
      </w:pPr>
      <w:bookmarkStart w:id="11" w:name="_Toc77166435"/>
      <w:r w:rsidRPr="00E230F1">
        <w:rPr>
          <w:rFonts w:ascii="Arial" w:hAnsi="Arial" w:cs="Arial"/>
          <w:color w:val="auto"/>
        </w:rPr>
        <w:t>INVESTMENT OF MONEY IN A WIDE VARIETY OF INVESTMENTS</w:t>
      </w:r>
      <w:bookmarkEnd w:id="11"/>
    </w:p>
    <w:p w14:paraId="360D452E" w14:textId="03EE3A1E" w:rsidR="006B3163" w:rsidRDefault="00027CC4" w:rsidP="00A73E98">
      <w:pPr>
        <w:spacing w:after="240" w:line="240" w:lineRule="auto"/>
        <w:ind w:left="11" w:right="198" w:hanging="11"/>
      </w:pPr>
      <w:r>
        <w:t>The Fund will invest in a range of investments, diversified by type, class, geographical location and market exposure.</w:t>
      </w:r>
    </w:p>
    <w:p w14:paraId="360D452F" w14:textId="793FE574" w:rsidR="006B3163" w:rsidRPr="00E230F1" w:rsidRDefault="004604D8" w:rsidP="00E230F1">
      <w:pPr>
        <w:pStyle w:val="Heading3"/>
        <w:spacing w:after="120" w:line="259" w:lineRule="auto"/>
        <w:ind w:left="11" w:hanging="11"/>
        <w:rPr>
          <w:color w:val="auto"/>
        </w:rPr>
      </w:pPr>
      <w:bookmarkStart w:id="12" w:name="_Toc77166436"/>
      <w:r w:rsidRPr="00E230F1">
        <w:rPr>
          <w:rFonts w:ascii="Arial" w:hAnsi="Arial" w:cs="Arial"/>
          <w:color w:val="auto"/>
        </w:rPr>
        <w:lastRenderedPageBreak/>
        <w:t>ASSET CLASSES</w:t>
      </w:r>
      <w:bookmarkEnd w:id="12"/>
    </w:p>
    <w:p w14:paraId="360D4530" w14:textId="23528EB3" w:rsidR="006B3163" w:rsidRDefault="00027CC4">
      <w:pPr>
        <w:ind w:left="9" w:right="198"/>
      </w:pPr>
      <w:r>
        <w:t>The Fund may invest in quoted and unquoted securities of UK and overseas markets including:</w:t>
      </w:r>
    </w:p>
    <w:p w14:paraId="360D4531" w14:textId="459B9162" w:rsidR="006B3163" w:rsidRDefault="00027CC4">
      <w:pPr>
        <w:numPr>
          <w:ilvl w:val="0"/>
          <w:numId w:val="3"/>
        </w:numPr>
        <w:spacing w:after="84"/>
        <w:ind w:right="198" w:hanging="360"/>
      </w:pPr>
      <w:proofErr w:type="gramStart"/>
      <w:r>
        <w:t>Equities</w:t>
      </w:r>
      <w:r w:rsidR="008140CA">
        <w:t>;</w:t>
      </w:r>
      <w:proofErr w:type="gramEnd"/>
    </w:p>
    <w:p w14:paraId="360D4532" w14:textId="7C252D98" w:rsidR="006B3163" w:rsidRDefault="00027CC4">
      <w:pPr>
        <w:numPr>
          <w:ilvl w:val="0"/>
          <w:numId w:val="3"/>
        </w:numPr>
        <w:spacing w:after="87"/>
        <w:ind w:right="198" w:hanging="360"/>
      </w:pPr>
      <w:r>
        <w:t xml:space="preserve">Fixed interest and index linked </w:t>
      </w:r>
      <w:proofErr w:type="gramStart"/>
      <w:r>
        <w:t>bonds</w:t>
      </w:r>
      <w:r w:rsidR="008140CA">
        <w:t>;</w:t>
      </w:r>
      <w:proofErr w:type="gramEnd"/>
    </w:p>
    <w:p w14:paraId="360D4533" w14:textId="39532DFC" w:rsidR="006B3163" w:rsidRDefault="00027CC4">
      <w:pPr>
        <w:numPr>
          <w:ilvl w:val="0"/>
          <w:numId w:val="3"/>
        </w:numPr>
        <w:spacing w:after="79"/>
        <w:ind w:right="198" w:hanging="360"/>
      </w:pPr>
      <w:proofErr w:type="gramStart"/>
      <w:r>
        <w:t>Cash</w:t>
      </w:r>
      <w:r w:rsidR="008140CA">
        <w:t>;</w:t>
      </w:r>
      <w:proofErr w:type="gramEnd"/>
    </w:p>
    <w:p w14:paraId="360D4534" w14:textId="4717E980" w:rsidR="006B3163" w:rsidRDefault="00027CC4">
      <w:pPr>
        <w:numPr>
          <w:ilvl w:val="0"/>
          <w:numId w:val="3"/>
        </w:numPr>
        <w:spacing w:after="85"/>
        <w:ind w:right="198" w:hanging="360"/>
      </w:pPr>
      <w:r>
        <w:t xml:space="preserve">Property and commodities, either directly or through pooled </w:t>
      </w:r>
      <w:proofErr w:type="gramStart"/>
      <w:r>
        <w:t>funds</w:t>
      </w:r>
      <w:r w:rsidR="008140CA">
        <w:t>;</w:t>
      </w:r>
      <w:proofErr w:type="gramEnd"/>
    </w:p>
    <w:p w14:paraId="360D4535" w14:textId="7B659BE1" w:rsidR="006B3163" w:rsidRDefault="00027CC4">
      <w:pPr>
        <w:numPr>
          <w:ilvl w:val="0"/>
          <w:numId w:val="3"/>
        </w:numPr>
        <w:spacing w:after="85"/>
        <w:ind w:right="198" w:hanging="360"/>
      </w:pPr>
      <w:r>
        <w:t xml:space="preserve">Private </w:t>
      </w:r>
      <w:proofErr w:type="gramStart"/>
      <w:r>
        <w:t>Equity</w:t>
      </w:r>
      <w:r w:rsidR="008140CA">
        <w:t>;</w:t>
      </w:r>
      <w:proofErr w:type="gramEnd"/>
    </w:p>
    <w:p w14:paraId="360D4536" w14:textId="0419F26A" w:rsidR="006B3163" w:rsidRDefault="00027CC4">
      <w:pPr>
        <w:numPr>
          <w:ilvl w:val="0"/>
          <w:numId w:val="3"/>
        </w:numPr>
        <w:spacing w:after="87"/>
        <w:ind w:right="198" w:hanging="360"/>
      </w:pPr>
      <w:proofErr w:type="gramStart"/>
      <w:r>
        <w:t>Infrastructure</w:t>
      </w:r>
      <w:r w:rsidR="008140CA">
        <w:t>;</w:t>
      </w:r>
      <w:proofErr w:type="gramEnd"/>
    </w:p>
    <w:p w14:paraId="360D4537" w14:textId="727580BB" w:rsidR="006B3163" w:rsidRDefault="00027CC4">
      <w:pPr>
        <w:numPr>
          <w:ilvl w:val="0"/>
          <w:numId w:val="3"/>
        </w:numPr>
        <w:spacing w:after="82"/>
        <w:ind w:right="198" w:hanging="360"/>
      </w:pPr>
      <w:proofErr w:type="gramStart"/>
      <w:r>
        <w:t>Debt</w:t>
      </w:r>
      <w:r w:rsidR="008140CA">
        <w:t>;</w:t>
      </w:r>
      <w:proofErr w:type="gramEnd"/>
    </w:p>
    <w:p w14:paraId="360D4538" w14:textId="20D876ED" w:rsidR="006B3163" w:rsidRDefault="00027CC4">
      <w:pPr>
        <w:numPr>
          <w:ilvl w:val="0"/>
          <w:numId w:val="3"/>
        </w:numPr>
        <w:spacing w:after="81"/>
        <w:ind w:right="198" w:hanging="360"/>
      </w:pPr>
      <w:r>
        <w:t xml:space="preserve">Insurance </w:t>
      </w:r>
      <w:proofErr w:type="gramStart"/>
      <w:r>
        <w:t>Instruments</w:t>
      </w:r>
      <w:r w:rsidR="008140CA">
        <w:t>;</w:t>
      </w:r>
      <w:proofErr w:type="gramEnd"/>
    </w:p>
    <w:p w14:paraId="360D4539" w14:textId="1BD4CA48" w:rsidR="006B3163" w:rsidRDefault="00027CC4" w:rsidP="00A73E98">
      <w:pPr>
        <w:numPr>
          <w:ilvl w:val="0"/>
          <w:numId w:val="3"/>
        </w:numPr>
        <w:spacing w:after="240" w:line="259" w:lineRule="auto"/>
        <w:ind w:left="731" w:right="198" w:hanging="357"/>
      </w:pPr>
      <w:r>
        <w:t>Contracts for differences and other derivatives either directly or in pooled funds.</w:t>
      </w:r>
    </w:p>
    <w:p w14:paraId="360D453B" w14:textId="73BAEDAA" w:rsidR="006B3163" w:rsidRDefault="00027CC4" w:rsidP="00A73E98">
      <w:pPr>
        <w:spacing w:after="47" w:line="259" w:lineRule="auto"/>
        <w:ind w:left="14" w:firstLine="0"/>
      </w:pPr>
      <w:r>
        <w:t xml:space="preserve">The Fund’s target investment strategy is set out below.  The table also includes the maximum percentage of total Fund value that it will invest in these asset classes.  In line with the Regulations, the authority’s investment strategy does not permit more than 5% of the total value of all investments of Fund money to be invested in entities which </w:t>
      </w:r>
      <w:proofErr w:type="gramStart"/>
      <w:r>
        <w:t>are connected with</w:t>
      </w:r>
      <w:proofErr w:type="gramEnd"/>
      <w:r>
        <w:t xml:space="preserve"> that authority within the meaning of section 212 of the Local Government and Public I</w:t>
      </w:r>
      <w:r w:rsidR="00567D40">
        <w:t>nvolvement in Health Act 2007”.</w:t>
      </w:r>
    </w:p>
    <w:p w14:paraId="360D4543" w14:textId="77777777" w:rsidR="00495826" w:rsidRDefault="00495826" w:rsidP="007025AB">
      <w:pPr>
        <w:spacing w:after="1"/>
        <w:ind w:left="0" w:right="1182" w:firstLine="0"/>
      </w:pPr>
    </w:p>
    <w:p w14:paraId="360D45C1" w14:textId="1CCD3885" w:rsidR="006B3163" w:rsidRDefault="00027CC4" w:rsidP="00AC72BE">
      <w:pPr>
        <w:spacing w:line="259" w:lineRule="auto"/>
        <w:ind w:left="11" w:right="198" w:hanging="11"/>
      </w:pPr>
      <w:r>
        <w:t xml:space="preserve">The graph below illustrates the linkage of the asset allocation to the key investment risk factors shown in the table above. The ongoing </w:t>
      </w:r>
      <w:r w:rsidR="00E609C7">
        <w:t xml:space="preserve">monitoring of the </w:t>
      </w:r>
      <w:r>
        <w:t>Investment Strategy will review the adequacy of the strategy against these factor risks</w:t>
      </w:r>
      <w:r w:rsidR="007025AB">
        <w:t>.</w:t>
      </w:r>
    </w:p>
    <w:p w14:paraId="07FE1346" w14:textId="48566683" w:rsidR="00EA0BF3" w:rsidRDefault="00EA0BF3" w:rsidP="00AC72BE">
      <w:pPr>
        <w:spacing w:line="259" w:lineRule="auto"/>
        <w:ind w:left="11" w:right="198" w:hanging="11"/>
      </w:pPr>
    </w:p>
    <w:p w14:paraId="27340282" w14:textId="61C90B89" w:rsidR="00EA0BF3" w:rsidRDefault="00EA0BF3" w:rsidP="00AC72BE">
      <w:pPr>
        <w:spacing w:line="259" w:lineRule="auto"/>
        <w:ind w:left="11" w:right="198" w:hanging="11"/>
      </w:pPr>
    </w:p>
    <w:p w14:paraId="24333416" w14:textId="76B5C9D4" w:rsidR="00EA0BF3" w:rsidRDefault="00791703" w:rsidP="00AC72BE">
      <w:pPr>
        <w:spacing w:line="259" w:lineRule="auto"/>
        <w:ind w:left="11" w:right="198" w:hanging="11"/>
      </w:pPr>
      <w:r>
        <w:tab/>
      </w:r>
    </w:p>
    <w:tbl>
      <w:tblPr>
        <w:tblStyle w:val="TableGrid0"/>
        <w:tblW w:w="8944" w:type="dxa"/>
        <w:tblLook w:val="04A0" w:firstRow="1" w:lastRow="0" w:firstColumn="1" w:lastColumn="0" w:noHBand="0" w:noVBand="1"/>
      </w:tblPr>
      <w:tblGrid>
        <w:gridCol w:w="2155"/>
        <w:gridCol w:w="1126"/>
        <w:gridCol w:w="955"/>
        <w:gridCol w:w="1030"/>
        <w:gridCol w:w="790"/>
        <w:gridCol w:w="1030"/>
        <w:gridCol w:w="905"/>
        <w:gridCol w:w="953"/>
      </w:tblGrid>
      <w:tr w:rsidR="00EA0BF3" w:rsidRPr="00C65918" w14:paraId="0D476137" w14:textId="77777777" w:rsidTr="005E43EF">
        <w:trPr>
          <w:trHeight w:val="508"/>
        </w:trPr>
        <w:tc>
          <w:tcPr>
            <w:tcW w:w="2155" w:type="dxa"/>
            <w:noWrap/>
            <w:hideMark/>
          </w:tcPr>
          <w:p w14:paraId="44F30B57" w14:textId="77777777" w:rsidR="00EA0BF3" w:rsidRPr="00C65918" w:rsidRDefault="00EA0BF3" w:rsidP="00DE39A6">
            <w:pPr>
              <w:spacing w:line="240" w:lineRule="auto"/>
              <w:rPr>
                <w:b/>
                <w:bCs/>
                <w:color w:val="auto"/>
                <w:sz w:val="16"/>
              </w:rPr>
            </w:pPr>
            <w:bookmarkStart w:id="13" w:name="_Hlk92457040"/>
            <w:r w:rsidRPr="00C65918">
              <w:rPr>
                <w:b/>
                <w:bCs/>
                <w:color w:val="auto"/>
                <w:sz w:val="16"/>
              </w:rPr>
              <w:t>Asset class</w:t>
            </w:r>
          </w:p>
        </w:tc>
        <w:tc>
          <w:tcPr>
            <w:tcW w:w="1126" w:type="dxa"/>
            <w:hideMark/>
          </w:tcPr>
          <w:p w14:paraId="3B06D269" w14:textId="570E6A97" w:rsidR="00EA0BF3" w:rsidRPr="00C65918" w:rsidRDefault="00EA0BF3" w:rsidP="00EA0BF3">
            <w:pPr>
              <w:spacing w:line="240" w:lineRule="auto"/>
              <w:jc w:val="center"/>
              <w:rPr>
                <w:b/>
                <w:bCs/>
                <w:color w:val="auto"/>
                <w:sz w:val="16"/>
              </w:rPr>
            </w:pPr>
            <w:r w:rsidRPr="00C65918">
              <w:rPr>
                <w:b/>
                <w:bCs/>
                <w:color w:val="auto"/>
                <w:sz w:val="16"/>
              </w:rPr>
              <w:t>Benchmark allocation</w:t>
            </w:r>
            <w:r>
              <w:rPr>
                <w:b/>
                <w:bCs/>
                <w:color w:val="auto"/>
                <w:sz w:val="16"/>
              </w:rPr>
              <w:t xml:space="preserve"> %</w:t>
            </w:r>
          </w:p>
        </w:tc>
        <w:tc>
          <w:tcPr>
            <w:tcW w:w="955" w:type="dxa"/>
            <w:hideMark/>
          </w:tcPr>
          <w:p w14:paraId="0FC2DCC4" w14:textId="77777777" w:rsidR="00EA0BF3" w:rsidRPr="00C65918" w:rsidRDefault="00EA0BF3" w:rsidP="00DE39A6">
            <w:pPr>
              <w:spacing w:line="240" w:lineRule="auto"/>
              <w:jc w:val="center"/>
              <w:rPr>
                <w:b/>
                <w:bCs/>
                <w:color w:val="auto"/>
                <w:sz w:val="16"/>
              </w:rPr>
            </w:pPr>
            <w:r w:rsidRPr="00C65918">
              <w:rPr>
                <w:b/>
                <w:bCs/>
                <w:color w:val="auto"/>
                <w:sz w:val="16"/>
              </w:rPr>
              <w:t>Inflation linkage</w:t>
            </w:r>
          </w:p>
        </w:tc>
        <w:tc>
          <w:tcPr>
            <w:tcW w:w="1030" w:type="dxa"/>
            <w:hideMark/>
          </w:tcPr>
          <w:p w14:paraId="419BFDC8" w14:textId="77777777" w:rsidR="00EA0BF3" w:rsidRPr="00C65918" w:rsidRDefault="00EA0BF3" w:rsidP="00DE39A6">
            <w:pPr>
              <w:spacing w:line="240" w:lineRule="auto"/>
              <w:jc w:val="center"/>
              <w:rPr>
                <w:b/>
                <w:bCs/>
                <w:color w:val="auto"/>
                <w:sz w:val="16"/>
              </w:rPr>
            </w:pPr>
            <w:r w:rsidRPr="00C65918">
              <w:rPr>
                <w:b/>
                <w:bCs/>
                <w:color w:val="auto"/>
                <w:sz w:val="16"/>
              </w:rPr>
              <w:t>Interest rate sensitivity</w:t>
            </w:r>
          </w:p>
        </w:tc>
        <w:tc>
          <w:tcPr>
            <w:tcW w:w="790" w:type="dxa"/>
            <w:hideMark/>
          </w:tcPr>
          <w:p w14:paraId="1863AC70" w14:textId="77777777" w:rsidR="00EA0BF3" w:rsidRPr="00C65918" w:rsidRDefault="00EA0BF3" w:rsidP="00DE39A6">
            <w:pPr>
              <w:spacing w:line="240" w:lineRule="auto"/>
              <w:jc w:val="center"/>
              <w:rPr>
                <w:b/>
                <w:bCs/>
                <w:color w:val="auto"/>
                <w:sz w:val="16"/>
              </w:rPr>
            </w:pPr>
            <w:r w:rsidRPr="00C65918">
              <w:rPr>
                <w:b/>
                <w:bCs/>
                <w:color w:val="auto"/>
                <w:sz w:val="16"/>
              </w:rPr>
              <w:t>Growth</w:t>
            </w:r>
          </w:p>
        </w:tc>
        <w:tc>
          <w:tcPr>
            <w:tcW w:w="1030" w:type="dxa"/>
            <w:hideMark/>
          </w:tcPr>
          <w:p w14:paraId="42DB02CE" w14:textId="77777777" w:rsidR="00EA0BF3" w:rsidRPr="00C65918" w:rsidRDefault="00EA0BF3" w:rsidP="00DE39A6">
            <w:pPr>
              <w:spacing w:line="240" w:lineRule="auto"/>
              <w:jc w:val="center"/>
              <w:rPr>
                <w:b/>
                <w:bCs/>
                <w:color w:val="auto"/>
                <w:sz w:val="16"/>
              </w:rPr>
            </w:pPr>
            <w:r w:rsidRPr="00C65918">
              <w:rPr>
                <w:b/>
                <w:bCs/>
                <w:color w:val="auto"/>
                <w:sz w:val="16"/>
              </w:rPr>
              <w:t>Diversifier from equities</w:t>
            </w:r>
          </w:p>
        </w:tc>
        <w:tc>
          <w:tcPr>
            <w:tcW w:w="905" w:type="dxa"/>
            <w:hideMark/>
          </w:tcPr>
          <w:p w14:paraId="67076290" w14:textId="77777777" w:rsidR="00EA0BF3" w:rsidRPr="00C65918" w:rsidRDefault="00EA0BF3" w:rsidP="00DE39A6">
            <w:pPr>
              <w:spacing w:line="240" w:lineRule="auto"/>
              <w:jc w:val="center"/>
              <w:rPr>
                <w:b/>
                <w:bCs/>
                <w:color w:val="auto"/>
                <w:sz w:val="16"/>
              </w:rPr>
            </w:pPr>
            <w:r w:rsidRPr="00C65918">
              <w:rPr>
                <w:b/>
                <w:bCs/>
                <w:color w:val="auto"/>
                <w:sz w:val="16"/>
              </w:rPr>
              <w:t>Liquidity</w:t>
            </w:r>
          </w:p>
        </w:tc>
        <w:tc>
          <w:tcPr>
            <w:tcW w:w="953" w:type="dxa"/>
            <w:hideMark/>
          </w:tcPr>
          <w:p w14:paraId="215D2454" w14:textId="77777777" w:rsidR="00EA0BF3" w:rsidRPr="00C65918" w:rsidRDefault="00EA0BF3" w:rsidP="00DE39A6">
            <w:pPr>
              <w:spacing w:line="240" w:lineRule="auto"/>
              <w:jc w:val="center"/>
              <w:rPr>
                <w:b/>
                <w:bCs/>
                <w:color w:val="auto"/>
                <w:sz w:val="16"/>
              </w:rPr>
            </w:pPr>
            <w:r w:rsidRPr="00C65918">
              <w:rPr>
                <w:b/>
                <w:bCs/>
                <w:color w:val="auto"/>
                <w:sz w:val="16"/>
              </w:rPr>
              <w:t>Liability matching</w:t>
            </w:r>
          </w:p>
        </w:tc>
      </w:tr>
      <w:tr w:rsidR="008E1739" w:rsidRPr="00C65918" w14:paraId="75BC94EE" w14:textId="77777777" w:rsidTr="005E43EF">
        <w:trPr>
          <w:trHeight w:val="328"/>
        </w:trPr>
        <w:tc>
          <w:tcPr>
            <w:tcW w:w="2155" w:type="dxa"/>
            <w:noWrap/>
            <w:hideMark/>
          </w:tcPr>
          <w:p w14:paraId="0390E549" w14:textId="77777777" w:rsidR="008E1739" w:rsidRPr="00C65918" w:rsidRDefault="008E1739" w:rsidP="00DE39A6">
            <w:pPr>
              <w:spacing w:line="240" w:lineRule="auto"/>
              <w:rPr>
                <w:color w:val="auto"/>
                <w:sz w:val="16"/>
              </w:rPr>
            </w:pPr>
            <w:r w:rsidRPr="00C65918">
              <w:rPr>
                <w:color w:val="auto"/>
                <w:sz w:val="16"/>
              </w:rPr>
              <w:t>Global Equities</w:t>
            </w:r>
          </w:p>
        </w:tc>
        <w:tc>
          <w:tcPr>
            <w:tcW w:w="1126" w:type="dxa"/>
            <w:noWrap/>
            <w:hideMark/>
          </w:tcPr>
          <w:p w14:paraId="68B8CBB4" w14:textId="79A0DAE4" w:rsidR="008E1739" w:rsidRPr="00C65918" w:rsidRDefault="008E1739" w:rsidP="00EA0BF3">
            <w:pPr>
              <w:spacing w:line="240" w:lineRule="auto"/>
              <w:jc w:val="center"/>
              <w:rPr>
                <w:color w:val="auto"/>
                <w:sz w:val="16"/>
              </w:rPr>
            </w:pPr>
            <w:r>
              <w:rPr>
                <w:color w:val="auto"/>
                <w:sz w:val="16"/>
              </w:rPr>
              <w:t>4</w:t>
            </w:r>
            <w:r w:rsidR="00B74496">
              <w:rPr>
                <w:color w:val="auto"/>
                <w:sz w:val="16"/>
              </w:rPr>
              <w:t>2.5</w:t>
            </w:r>
          </w:p>
        </w:tc>
        <w:tc>
          <w:tcPr>
            <w:tcW w:w="955" w:type="dxa"/>
            <w:hideMark/>
          </w:tcPr>
          <w:p w14:paraId="146B9C59" w14:textId="37EC5D9D" w:rsidR="008E1739" w:rsidRPr="00C65918" w:rsidRDefault="008E1739" w:rsidP="008E1739">
            <w:pPr>
              <w:spacing w:line="240" w:lineRule="auto"/>
              <w:jc w:val="center"/>
              <w:rPr>
                <w:color w:val="auto"/>
                <w:sz w:val="16"/>
              </w:rPr>
            </w:pPr>
            <w:r w:rsidRPr="00C65918">
              <w:rPr>
                <w:color w:val="auto"/>
                <w:sz w:val="16"/>
              </w:rPr>
              <w:t>Indirect Linkage over long-term</w:t>
            </w:r>
          </w:p>
        </w:tc>
        <w:tc>
          <w:tcPr>
            <w:tcW w:w="1030" w:type="dxa"/>
            <w:hideMark/>
          </w:tcPr>
          <w:p w14:paraId="7F59C1A5" w14:textId="77777777" w:rsidR="008E1739" w:rsidRPr="00C65918" w:rsidRDefault="008E1739" w:rsidP="00DE39A6">
            <w:pPr>
              <w:spacing w:line="240" w:lineRule="auto"/>
              <w:jc w:val="center"/>
              <w:rPr>
                <w:color w:val="auto"/>
                <w:sz w:val="16"/>
              </w:rPr>
            </w:pPr>
            <w:r w:rsidRPr="00C65918">
              <w:rPr>
                <w:color w:val="auto"/>
                <w:sz w:val="16"/>
              </w:rPr>
              <w:t>No</w:t>
            </w:r>
          </w:p>
        </w:tc>
        <w:tc>
          <w:tcPr>
            <w:tcW w:w="790" w:type="dxa"/>
            <w:hideMark/>
          </w:tcPr>
          <w:p w14:paraId="3166C370" w14:textId="77777777" w:rsidR="008E1739" w:rsidRPr="00C65918" w:rsidRDefault="008E1739" w:rsidP="00DE39A6">
            <w:pPr>
              <w:spacing w:line="240" w:lineRule="auto"/>
              <w:jc w:val="center"/>
              <w:rPr>
                <w:color w:val="auto"/>
                <w:sz w:val="16"/>
              </w:rPr>
            </w:pPr>
            <w:r w:rsidRPr="00C65918">
              <w:rPr>
                <w:color w:val="auto"/>
                <w:sz w:val="16"/>
              </w:rPr>
              <w:t>Yes</w:t>
            </w:r>
          </w:p>
        </w:tc>
        <w:tc>
          <w:tcPr>
            <w:tcW w:w="1030" w:type="dxa"/>
            <w:hideMark/>
          </w:tcPr>
          <w:p w14:paraId="4E647A20" w14:textId="77777777" w:rsidR="008E1739" w:rsidRPr="00C65918" w:rsidRDefault="008E1739" w:rsidP="00DE39A6">
            <w:pPr>
              <w:spacing w:line="240" w:lineRule="auto"/>
              <w:jc w:val="center"/>
              <w:rPr>
                <w:color w:val="auto"/>
                <w:sz w:val="16"/>
              </w:rPr>
            </w:pPr>
            <w:r w:rsidRPr="00C65918">
              <w:rPr>
                <w:color w:val="auto"/>
                <w:sz w:val="16"/>
              </w:rPr>
              <w:t>No</w:t>
            </w:r>
          </w:p>
        </w:tc>
        <w:tc>
          <w:tcPr>
            <w:tcW w:w="905" w:type="dxa"/>
            <w:hideMark/>
          </w:tcPr>
          <w:p w14:paraId="7FAE00AD" w14:textId="77777777" w:rsidR="008E1739" w:rsidRPr="00C65918" w:rsidRDefault="008E1739" w:rsidP="00DE39A6">
            <w:pPr>
              <w:spacing w:line="240" w:lineRule="auto"/>
              <w:jc w:val="center"/>
              <w:rPr>
                <w:color w:val="auto"/>
                <w:sz w:val="16"/>
              </w:rPr>
            </w:pPr>
            <w:r w:rsidRPr="00C65918">
              <w:rPr>
                <w:color w:val="auto"/>
                <w:sz w:val="16"/>
              </w:rPr>
              <w:t>Yes</w:t>
            </w:r>
          </w:p>
        </w:tc>
        <w:tc>
          <w:tcPr>
            <w:tcW w:w="953" w:type="dxa"/>
            <w:hideMark/>
          </w:tcPr>
          <w:p w14:paraId="515CF1FF" w14:textId="77777777" w:rsidR="008E1739" w:rsidRPr="00C65918" w:rsidRDefault="008E1739" w:rsidP="00DE39A6">
            <w:pPr>
              <w:spacing w:line="240" w:lineRule="auto"/>
              <w:jc w:val="center"/>
              <w:rPr>
                <w:color w:val="auto"/>
                <w:sz w:val="16"/>
              </w:rPr>
            </w:pPr>
            <w:r w:rsidRPr="00C65918">
              <w:rPr>
                <w:color w:val="auto"/>
                <w:sz w:val="16"/>
              </w:rPr>
              <w:t>No</w:t>
            </w:r>
          </w:p>
        </w:tc>
      </w:tr>
      <w:tr w:rsidR="00EA0BF3" w:rsidRPr="00C65918" w14:paraId="357E0405" w14:textId="77777777" w:rsidTr="005E43EF">
        <w:trPr>
          <w:trHeight w:val="338"/>
        </w:trPr>
        <w:tc>
          <w:tcPr>
            <w:tcW w:w="2155" w:type="dxa"/>
            <w:noWrap/>
            <w:hideMark/>
          </w:tcPr>
          <w:p w14:paraId="720D0D2C" w14:textId="77777777" w:rsidR="00EA0BF3" w:rsidRPr="00C65918" w:rsidRDefault="00EA0BF3" w:rsidP="00DE39A6">
            <w:pPr>
              <w:spacing w:line="240" w:lineRule="auto"/>
              <w:rPr>
                <w:color w:val="auto"/>
                <w:sz w:val="16"/>
              </w:rPr>
            </w:pPr>
            <w:r w:rsidRPr="00C65918">
              <w:rPr>
                <w:color w:val="auto"/>
                <w:sz w:val="16"/>
              </w:rPr>
              <w:t>Government Bonds</w:t>
            </w:r>
          </w:p>
        </w:tc>
        <w:tc>
          <w:tcPr>
            <w:tcW w:w="1126" w:type="dxa"/>
            <w:noWrap/>
            <w:hideMark/>
          </w:tcPr>
          <w:p w14:paraId="79BF4DD0" w14:textId="5B8CD670" w:rsidR="00EA0BF3" w:rsidRPr="00C65918" w:rsidRDefault="00EA0BF3" w:rsidP="00EA0BF3">
            <w:pPr>
              <w:spacing w:line="240" w:lineRule="auto"/>
              <w:jc w:val="center"/>
              <w:rPr>
                <w:color w:val="auto"/>
                <w:sz w:val="16"/>
              </w:rPr>
            </w:pPr>
            <w:r w:rsidRPr="00C65918">
              <w:rPr>
                <w:color w:val="auto"/>
                <w:sz w:val="16"/>
              </w:rPr>
              <w:t>1</w:t>
            </w:r>
            <w:r w:rsidR="00B74496">
              <w:rPr>
                <w:color w:val="auto"/>
                <w:sz w:val="16"/>
              </w:rPr>
              <w:t>5</w:t>
            </w:r>
          </w:p>
        </w:tc>
        <w:tc>
          <w:tcPr>
            <w:tcW w:w="955" w:type="dxa"/>
            <w:hideMark/>
          </w:tcPr>
          <w:p w14:paraId="3B191614" w14:textId="406CF758" w:rsidR="00EA0BF3" w:rsidRPr="00C65918" w:rsidRDefault="00B74496" w:rsidP="00DE39A6">
            <w:pPr>
              <w:spacing w:line="240" w:lineRule="auto"/>
              <w:jc w:val="center"/>
              <w:rPr>
                <w:color w:val="auto"/>
                <w:sz w:val="16"/>
              </w:rPr>
            </w:pPr>
            <w:r>
              <w:rPr>
                <w:color w:val="auto"/>
                <w:sz w:val="16"/>
              </w:rPr>
              <w:t>Yes</w:t>
            </w:r>
          </w:p>
        </w:tc>
        <w:tc>
          <w:tcPr>
            <w:tcW w:w="1030" w:type="dxa"/>
            <w:hideMark/>
          </w:tcPr>
          <w:p w14:paraId="4C70DE4C" w14:textId="77777777" w:rsidR="00EA0BF3" w:rsidRPr="00C65918" w:rsidRDefault="00EA0BF3" w:rsidP="00DE39A6">
            <w:pPr>
              <w:spacing w:line="240" w:lineRule="auto"/>
              <w:jc w:val="center"/>
              <w:rPr>
                <w:color w:val="auto"/>
                <w:sz w:val="16"/>
              </w:rPr>
            </w:pPr>
            <w:r w:rsidRPr="00C65918">
              <w:rPr>
                <w:color w:val="auto"/>
                <w:sz w:val="16"/>
              </w:rPr>
              <w:t>Yes</w:t>
            </w:r>
          </w:p>
        </w:tc>
        <w:tc>
          <w:tcPr>
            <w:tcW w:w="790" w:type="dxa"/>
            <w:hideMark/>
          </w:tcPr>
          <w:p w14:paraId="210CEC11" w14:textId="77777777" w:rsidR="00EA0BF3" w:rsidRPr="00C65918" w:rsidRDefault="00EA0BF3" w:rsidP="00DE39A6">
            <w:pPr>
              <w:spacing w:line="240" w:lineRule="auto"/>
              <w:jc w:val="center"/>
              <w:rPr>
                <w:color w:val="auto"/>
                <w:sz w:val="16"/>
              </w:rPr>
            </w:pPr>
            <w:r w:rsidRPr="00C65918">
              <w:rPr>
                <w:color w:val="auto"/>
                <w:sz w:val="16"/>
              </w:rPr>
              <w:t>No</w:t>
            </w:r>
          </w:p>
        </w:tc>
        <w:tc>
          <w:tcPr>
            <w:tcW w:w="1030" w:type="dxa"/>
            <w:hideMark/>
          </w:tcPr>
          <w:p w14:paraId="07C91595" w14:textId="77777777" w:rsidR="00EA0BF3" w:rsidRPr="00C65918" w:rsidRDefault="00EA0BF3" w:rsidP="00DE39A6">
            <w:pPr>
              <w:spacing w:line="240" w:lineRule="auto"/>
              <w:jc w:val="center"/>
              <w:rPr>
                <w:color w:val="auto"/>
                <w:sz w:val="16"/>
              </w:rPr>
            </w:pPr>
            <w:r w:rsidRPr="00C65918">
              <w:rPr>
                <w:color w:val="auto"/>
                <w:sz w:val="16"/>
              </w:rPr>
              <w:t>Yes</w:t>
            </w:r>
          </w:p>
        </w:tc>
        <w:tc>
          <w:tcPr>
            <w:tcW w:w="905" w:type="dxa"/>
            <w:hideMark/>
          </w:tcPr>
          <w:p w14:paraId="484D9A98" w14:textId="77777777" w:rsidR="00EA0BF3" w:rsidRPr="00C65918" w:rsidRDefault="00EA0BF3" w:rsidP="00DE39A6">
            <w:pPr>
              <w:spacing w:line="240" w:lineRule="auto"/>
              <w:jc w:val="center"/>
              <w:rPr>
                <w:color w:val="auto"/>
                <w:sz w:val="16"/>
              </w:rPr>
            </w:pPr>
            <w:r w:rsidRPr="00C65918">
              <w:rPr>
                <w:color w:val="auto"/>
                <w:sz w:val="16"/>
              </w:rPr>
              <w:t>Yes</w:t>
            </w:r>
          </w:p>
        </w:tc>
        <w:tc>
          <w:tcPr>
            <w:tcW w:w="953" w:type="dxa"/>
            <w:hideMark/>
          </w:tcPr>
          <w:p w14:paraId="64308C2A" w14:textId="77777777" w:rsidR="00EA0BF3" w:rsidRPr="00C65918" w:rsidRDefault="00EA0BF3" w:rsidP="00DE39A6">
            <w:pPr>
              <w:spacing w:line="240" w:lineRule="auto"/>
              <w:jc w:val="center"/>
              <w:rPr>
                <w:color w:val="auto"/>
                <w:sz w:val="16"/>
              </w:rPr>
            </w:pPr>
            <w:r w:rsidRPr="00C65918">
              <w:rPr>
                <w:color w:val="auto"/>
                <w:sz w:val="16"/>
              </w:rPr>
              <w:t>Yes</w:t>
            </w:r>
          </w:p>
        </w:tc>
      </w:tr>
      <w:tr w:rsidR="00EA0BF3" w:rsidRPr="00C65918" w14:paraId="4C011F54" w14:textId="77777777" w:rsidTr="005E43EF">
        <w:trPr>
          <w:trHeight w:val="338"/>
        </w:trPr>
        <w:tc>
          <w:tcPr>
            <w:tcW w:w="2155" w:type="dxa"/>
            <w:noWrap/>
            <w:hideMark/>
          </w:tcPr>
          <w:p w14:paraId="3E6D08B6" w14:textId="77777777" w:rsidR="00EA0BF3" w:rsidRPr="00C65918" w:rsidRDefault="00EA0BF3" w:rsidP="00DE39A6">
            <w:pPr>
              <w:spacing w:line="240" w:lineRule="auto"/>
              <w:rPr>
                <w:color w:val="auto"/>
                <w:sz w:val="16"/>
              </w:rPr>
            </w:pPr>
            <w:r w:rsidRPr="00C65918">
              <w:rPr>
                <w:color w:val="auto"/>
                <w:sz w:val="16"/>
              </w:rPr>
              <w:t>Non-Government Bonds</w:t>
            </w:r>
          </w:p>
        </w:tc>
        <w:tc>
          <w:tcPr>
            <w:tcW w:w="1126" w:type="dxa"/>
            <w:noWrap/>
            <w:hideMark/>
          </w:tcPr>
          <w:p w14:paraId="77F4003C" w14:textId="64BE9BF5" w:rsidR="00EA0BF3" w:rsidRPr="00C65918" w:rsidRDefault="00EA0BF3" w:rsidP="00EA0BF3">
            <w:pPr>
              <w:spacing w:line="240" w:lineRule="auto"/>
              <w:jc w:val="center"/>
              <w:rPr>
                <w:color w:val="auto"/>
                <w:sz w:val="16"/>
              </w:rPr>
            </w:pPr>
            <w:r w:rsidRPr="00C65918">
              <w:rPr>
                <w:color w:val="auto"/>
                <w:sz w:val="16"/>
              </w:rPr>
              <w:t>1</w:t>
            </w:r>
            <w:r w:rsidR="00B74496">
              <w:rPr>
                <w:color w:val="auto"/>
                <w:sz w:val="16"/>
              </w:rPr>
              <w:t>5</w:t>
            </w:r>
          </w:p>
        </w:tc>
        <w:tc>
          <w:tcPr>
            <w:tcW w:w="955" w:type="dxa"/>
            <w:hideMark/>
          </w:tcPr>
          <w:p w14:paraId="66BA00FF" w14:textId="2F59C722" w:rsidR="00EA0BF3" w:rsidRPr="00C65918" w:rsidRDefault="00EA0BF3" w:rsidP="00DE39A6">
            <w:pPr>
              <w:spacing w:line="240" w:lineRule="auto"/>
              <w:jc w:val="center"/>
              <w:rPr>
                <w:color w:val="auto"/>
                <w:sz w:val="16"/>
              </w:rPr>
            </w:pPr>
            <w:r w:rsidRPr="00C65918">
              <w:rPr>
                <w:color w:val="auto"/>
                <w:sz w:val="16"/>
              </w:rPr>
              <w:t>No</w:t>
            </w:r>
          </w:p>
        </w:tc>
        <w:tc>
          <w:tcPr>
            <w:tcW w:w="1030" w:type="dxa"/>
            <w:hideMark/>
          </w:tcPr>
          <w:p w14:paraId="08C51294" w14:textId="77777777" w:rsidR="00EA0BF3" w:rsidRPr="00C65918" w:rsidRDefault="00EA0BF3" w:rsidP="00DE39A6">
            <w:pPr>
              <w:spacing w:line="240" w:lineRule="auto"/>
              <w:jc w:val="center"/>
              <w:rPr>
                <w:color w:val="auto"/>
                <w:sz w:val="16"/>
              </w:rPr>
            </w:pPr>
            <w:r w:rsidRPr="00C65918">
              <w:rPr>
                <w:color w:val="auto"/>
                <w:sz w:val="16"/>
              </w:rPr>
              <w:t>Yes</w:t>
            </w:r>
          </w:p>
        </w:tc>
        <w:tc>
          <w:tcPr>
            <w:tcW w:w="790" w:type="dxa"/>
            <w:hideMark/>
          </w:tcPr>
          <w:p w14:paraId="0B666660" w14:textId="424A1FC1" w:rsidR="00EA0BF3" w:rsidRPr="00C65918" w:rsidRDefault="00B74496" w:rsidP="00DE39A6">
            <w:pPr>
              <w:spacing w:line="240" w:lineRule="auto"/>
              <w:jc w:val="center"/>
              <w:rPr>
                <w:color w:val="auto"/>
                <w:sz w:val="16"/>
              </w:rPr>
            </w:pPr>
            <w:r>
              <w:rPr>
                <w:color w:val="auto"/>
                <w:sz w:val="16"/>
              </w:rPr>
              <w:t>Some</w:t>
            </w:r>
          </w:p>
        </w:tc>
        <w:tc>
          <w:tcPr>
            <w:tcW w:w="1030" w:type="dxa"/>
            <w:hideMark/>
          </w:tcPr>
          <w:p w14:paraId="72722399" w14:textId="77777777" w:rsidR="00EA0BF3" w:rsidRPr="00C65918" w:rsidRDefault="00EA0BF3" w:rsidP="00DE39A6">
            <w:pPr>
              <w:spacing w:line="240" w:lineRule="auto"/>
              <w:jc w:val="center"/>
              <w:rPr>
                <w:color w:val="auto"/>
                <w:sz w:val="16"/>
              </w:rPr>
            </w:pPr>
            <w:r w:rsidRPr="00C65918">
              <w:rPr>
                <w:color w:val="auto"/>
                <w:sz w:val="16"/>
              </w:rPr>
              <w:t>Yes</w:t>
            </w:r>
          </w:p>
        </w:tc>
        <w:tc>
          <w:tcPr>
            <w:tcW w:w="905" w:type="dxa"/>
            <w:hideMark/>
          </w:tcPr>
          <w:p w14:paraId="1FCCA3AA" w14:textId="77777777" w:rsidR="00EA0BF3" w:rsidRPr="00C65918" w:rsidRDefault="00EA0BF3" w:rsidP="00DE39A6">
            <w:pPr>
              <w:spacing w:line="240" w:lineRule="auto"/>
              <w:jc w:val="center"/>
              <w:rPr>
                <w:color w:val="auto"/>
                <w:sz w:val="16"/>
              </w:rPr>
            </w:pPr>
            <w:r w:rsidRPr="00C65918">
              <w:rPr>
                <w:color w:val="auto"/>
                <w:sz w:val="16"/>
              </w:rPr>
              <w:t>Yes</w:t>
            </w:r>
          </w:p>
        </w:tc>
        <w:tc>
          <w:tcPr>
            <w:tcW w:w="953" w:type="dxa"/>
            <w:hideMark/>
          </w:tcPr>
          <w:p w14:paraId="08AF66A3" w14:textId="6BC19EE9" w:rsidR="00EA0BF3" w:rsidRPr="00C65918" w:rsidRDefault="003B5721" w:rsidP="00DE39A6">
            <w:pPr>
              <w:spacing w:line="240" w:lineRule="auto"/>
              <w:jc w:val="center"/>
              <w:rPr>
                <w:color w:val="auto"/>
                <w:sz w:val="16"/>
              </w:rPr>
            </w:pPr>
            <w:r>
              <w:rPr>
                <w:color w:val="auto"/>
                <w:sz w:val="16"/>
              </w:rPr>
              <w:t>No</w:t>
            </w:r>
          </w:p>
        </w:tc>
      </w:tr>
      <w:tr w:rsidR="00EA0BF3" w:rsidRPr="00C65918" w14:paraId="7995A9CD" w14:textId="77777777" w:rsidTr="005E43EF">
        <w:trPr>
          <w:trHeight w:val="338"/>
        </w:trPr>
        <w:tc>
          <w:tcPr>
            <w:tcW w:w="2155" w:type="dxa"/>
            <w:noWrap/>
            <w:hideMark/>
          </w:tcPr>
          <w:p w14:paraId="046B2E2E" w14:textId="77777777" w:rsidR="00EA0BF3" w:rsidRPr="00C65918" w:rsidRDefault="00EA0BF3" w:rsidP="00DE39A6">
            <w:pPr>
              <w:spacing w:line="240" w:lineRule="auto"/>
              <w:rPr>
                <w:color w:val="auto"/>
                <w:sz w:val="16"/>
              </w:rPr>
            </w:pPr>
            <w:r w:rsidRPr="00C65918">
              <w:rPr>
                <w:color w:val="auto"/>
                <w:sz w:val="16"/>
              </w:rPr>
              <w:t>Property</w:t>
            </w:r>
          </w:p>
        </w:tc>
        <w:tc>
          <w:tcPr>
            <w:tcW w:w="1126" w:type="dxa"/>
            <w:noWrap/>
            <w:hideMark/>
          </w:tcPr>
          <w:p w14:paraId="1ED747E5" w14:textId="501C39A1" w:rsidR="00EA0BF3" w:rsidRPr="00C65918" w:rsidRDefault="00EA0BF3" w:rsidP="00EA0BF3">
            <w:pPr>
              <w:spacing w:line="240" w:lineRule="auto"/>
              <w:jc w:val="center"/>
              <w:rPr>
                <w:color w:val="auto"/>
                <w:sz w:val="16"/>
              </w:rPr>
            </w:pPr>
            <w:r w:rsidRPr="00C65918">
              <w:rPr>
                <w:color w:val="auto"/>
                <w:sz w:val="16"/>
              </w:rPr>
              <w:t>1</w:t>
            </w:r>
            <w:r w:rsidR="00B74496">
              <w:rPr>
                <w:color w:val="auto"/>
                <w:sz w:val="16"/>
              </w:rPr>
              <w:t>2.5</w:t>
            </w:r>
          </w:p>
        </w:tc>
        <w:tc>
          <w:tcPr>
            <w:tcW w:w="955" w:type="dxa"/>
            <w:hideMark/>
          </w:tcPr>
          <w:p w14:paraId="43EDE3F9" w14:textId="568DB53F" w:rsidR="00EA0BF3" w:rsidRPr="00C65918" w:rsidRDefault="00B74496" w:rsidP="00DE39A6">
            <w:pPr>
              <w:spacing w:line="240" w:lineRule="auto"/>
              <w:jc w:val="center"/>
              <w:rPr>
                <w:color w:val="auto"/>
                <w:sz w:val="16"/>
              </w:rPr>
            </w:pPr>
            <w:r>
              <w:rPr>
                <w:color w:val="auto"/>
                <w:sz w:val="16"/>
              </w:rPr>
              <w:t>Some</w:t>
            </w:r>
          </w:p>
        </w:tc>
        <w:tc>
          <w:tcPr>
            <w:tcW w:w="1030" w:type="dxa"/>
            <w:hideMark/>
          </w:tcPr>
          <w:p w14:paraId="184FA1C0" w14:textId="77777777" w:rsidR="00EA0BF3" w:rsidRPr="00C65918" w:rsidRDefault="00EA0BF3" w:rsidP="00DE39A6">
            <w:pPr>
              <w:spacing w:line="240" w:lineRule="auto"/>
              <w:jc w:val="center"/>
              <w:rPr>
                <w:color w:val="auto"/>
                <w:sz w:val="16"/>
              </w:rPr>
            </w:pPr>
            <w:r w:rsidRPr="00C65918">
              <w:rPr>
                <w:color w:val="auto"/>
                <w:sz w:val="16"/>
              </w:rPr>
              <w:t>No</w:t>
            </w:r>
          </w:p>
        </w:tc>
        <w:tc>
          <w:tcPr>
            <w:tcW w:w="790" w:type="dxa"/>
            <w:hideMark/>
          </w:tcPr>
          <w:p w14:paraId="41FCF181" w14:textId="77777777" w:rsidR="00EA0BF3" w:rsidRPr="00C65918" w:rsidRDefault="00EA0BF3" w:rsidP="00DE39A6">
            <w:pPr>
              <w:spacing w:line="240" w:lineRule="auto"/>
              <w:jc w:val="center"/>
              <w:rPr>
                <w:color w:val="auto"/>
                <w:sz w:val="16"/>
              </w:rPr>
            </w:pPr>
            <w:r w:rsidRPr="00C65918">
              <w:rPr>
                <w:color w:val="auto"/>
                <w:sz w:val="16"/>
              </w:rPr>
              <w:t>Yes</w:t>
            </w:r>
          </w:p>
        </w:tc>
        <w:tc>
          <w:tcPr>
            <w:tcW w:w="1030" w:type="dxa"/>
            <w:hideMark/>
          </w:tcPr>
          <w:p w14:paraId="1FC9C8E4" w14:textId="77777777" w:rsidR="00EA0BF3" w:rsidRPr="00C65918" w:rsidRDefault="00EA0BF3" w:rsidP="00DE39A6">
            <w:pPr>
              <w:spacing w:line="240" w:lineRule="auto"/>
              <w:jc w:val="center"/>
              <w:rPr>
                <w:color w:val="auto"/>
                <w:sz w:val="16"/>
              </w:rPr>
            </w:pPr>
            <w:r w:rsidRPr="00C65918">
              <w:rPr>
                <w:color w:val="auto"/>
                <w:sz w:val="16"/>
              </w:rPr>
              <w:t>Yes</w:t>
            </w:r>
          </w:p>
        </w:tc>
        <w:tc>
          <w:tcPr>
            <w:tcW w:w="905" w:type="dxa"/>
            <w:hideMark/>
          </w:tcPr>
          <w:p w14:paraId="1B2CA34E" w14:textId="77777777" w:rsidR="00EA0BF3" w:rsidRPr="00C65918" w:rsidRDefault="00EA0BF3" w:rsidP="00DE39A6">
            <w:pPr>
              <w:spacing w:line="240" w:lineRule="auto"/>
              <w:jc w:val="center"/>
              <w:rPr>
                <w:color w:val="auto"/>
                <w:sz w:val="16"/>
              </w:rPr>
            </w:pPr>
            <w:r w:rsidRPr="00C65918">
              <w:rPr>
                <w:color w:val="auto"/>
                <w:sz w:val="16"/>
              </w:rPr>
              <w:t>No</w:t>
            </w:r>
          </w:p>
        </w:tc>
        <w:tc>
          <w:tcPr>
            <w:tcW w:w="953" w:type="dxa"/>
            <w:hideMark/>
          </w:tcPr>
          <w:p w14:paraId="1A819DF6" w14:textId="77777777" w:rsidR="00EA0BF3" w:rsidRPr="00C65918" w:rsidRDefault="00EA0BF3" w:rsidP="00DE39A6">
            <w:pPr>
              <w:spacing w:line="240" w:lineRule="auto"/>
              <w:jc w:val="center"/>
              <w:rPr>
                <w:color w:val="auto"/>
                <w:sz w:val="16"/>
              </w:rPr>
            </w:pPr>
            <w:r w:rsidRPr="00C65918">
              <w:rPr>
                <w:color w:val="auto"/>
                <w:sz w:val="16"/>
              </w:rPr>
              <w:t>No</w:t>
            </w:r>
          </w:p>
        </w:tc>
      </w:tr>
      <w:tr w:rsidR="00EA0BF3" w:rsidRPr="00C65918" w14:paraId="359001BC" w14:textId="77777777" w:rsidTr="005E43EF">
        <w:trPr>
          <w:trHeight w:val="508"/>
        </w:trPr>
        <w:tc>
          <w:tcPr>
            <w:tcW w:w="2155" w:type="dxa"/>
            <w:noWrap/>
          </w:tcPr>
          <w:p w14:paraId="05C37C5B" w14:textId="0D50D421" w:rsidR="00EA0BF3" w:rsidRPr="00C65918" w:rsidRDefault="00B74496" w:rsidP="00DE39A6">
            <w:pPr>
              <w:spacing w:line="240" w:lineRule="auto"/>
              <w:rPr>
                <w:color w:val="auto"/>
                <w:sz w:val="16"/>
              </w:rPr>
            </w:pPr>
            <w:r>
              <w:rPr>
                <w:color w:val="auto"/>
                <w:sz w:val="16"/>
              </w:rPr>
              <w:t>Private Equity</w:t>
            </w:r>
          </w:p>
        </w:tc>
        <w:tc>
          <w:tcPr>
            <w:tcW w:w="1126" w:type="dxa"/>
            <w:noWrap/>
          </w:tcPr>
          <w:p w14:paraId="37866528" w14:textId="22ED3749" w:rsidR="00EA0BF3" w:rsidRPr="00C65918" w:rsidRDefault="00B74496" w:rsidP="00EA0BF3">
            <w:pPr>
              <w:spacing w:line="240" w:lineRule="auto"/>
              <w:jc w:val="center"/>
              <w:rPr>
                <w:color w:val="auto"/>
                <w:sz w:val="16"/>
              </w:rPr>
            </w:pPr>
            <w:r>
              <w:rPr>
                <w:color w:val="auto"/>
                <w:sz w:val="16"/>
              </w:rPr>
              <w:t>7.5</w:t>
            </w:r>
          </w:p>
        </w:tc>
        <w:tc>
          <w:tcPr>
            <w:tcW w:w="955" w:type="dxa"/>
          </w:tcPr>
          <w:p w14:paraId="39E38EEA" w14:textId="7C65647E" w:rsidR="00EA0BF3" w:rsidRPr="00C65918" w:rsidRDefault="00B74496" w:rsidP="00DE39A6">
            <w:pPr>
              <w:spacing w:line="240" w:lineRule="auto"/>
              <w:jc w:val="center"/>
              <w:rPr>
                <w:color w:val="auto"/>
                <w:sz w:val="16"/>
              </w:rPr>
            </w:pPr>
            <w:r>
              <w:rPr>
                <w:color w:val="auto"/>
                <w:sz w:val="16"/>
              </w:rPr>
              <w:t>Yes</w:t>
            </w:r>
          </w:p>
        </w:tc>
        <w:tc>
          <w:tcPr>
            <w:tcW w:w="1030" w:type="dxa"/>
          </w:tcPr>
          <w:p w14:paraId="69EE899C" w14:textId="77777777" w:rsidR="00EA0BF3" w:rsidRPr="00C65918" w:rsidRDefault="00EA0BF3" w:rsidP="00DE39A6">
            <w:pPr>
              <w:spacing w:line="240" w:lineRule="auto"/>
              <w:jc w:val="center"/>
              <w:rPr>
                <w:color w:val="auto"/>
                <w:sz w:val="16"/>
              </w:rPr>
            </w:pPr>
            <w:r w:rsidRPr="00C65918">
              <w:rPr>
                <w:color w:val="auto"/>
                <w:sz w:val="16"/>
              </w:rPr>
              <w:t>No</w:t>
            </w:r>
          </w:p>
        </w:tc>
        <w:tc>
          <w:tcPr>
            <w:tcW w:w="790" w:type="dxa"/>
          </w:tcPr>
          <w:p w14:paraId="7F22275F" w14:textId="77777777" w:rsidR="00EA0BF3" w:rsidRPr="00C65918" w:rsidRDefault="00EA0BF3" w:rsidP="00DE39A6">
            <w:pPr>
              <w:spacing w:line="240" w:lineRule="auto"/>
              <w:jc w:val="center"/>
              <w:rPr>
                <w:color w:val="auto"/>
                <w:sz w:val="16"/>
              </w:rPr>
            </w:pPr>
            <w:r w:rsidRPr="00C65918">
              <w:rPr>
                <w:color w:val="auto"/>
                <w:sz w:val="16"/>
              </w:rPr>
              <w:t>Yes</w:t>
            </w:r>
          </w:p>
        </w:tc>
        <w:tc>
          <w:tcPr>
            <w:tcW w:w="1030" w:type="dxa"/>
          </w:tcPr>
          <w:p w14:paraId="5C4D5175" w14:textId="77777777" w:rsidR="00EA0BF3" w:rsidRPr="00C65918" w:rsidRDefault="00EA0BF3" w:rsidP="00DE39A6">
            <w:pPr>
              <w:spacing w:line="240" w:lineRule="auto"/>
              <w:jc w:val="center"/>
              <w:rPr>
                <w:color w:val="auto"/>
                <w:sz w:val="16"/>
              </w:rPr>
            </w:pPr>
            <w:r w:rsidRPr="00C65918">
              <w:rPr>
                <w:color w:val="auto"/>
                <w:sz w:val="16"/>
              </w:rPr>
              <w:t>Yes</w:t>
            </w:r>
          </w:p>
        </w:tc>
        <w:tc>
          <w:tcPr>
            <w:tcW w:w="905" w:type="dxa"/>
          </w:tcPr>
          <w:p w14:paraId="1D3AEFB7" w14:textId="77777777" w:rsidR="00EA0BF3" w:rsidRPr="00C65918" w:rsidRDefault="00EA0BF3" w:rsidP="00DE39A6">
            <w:pPr>
              <w:spacing w:line="240" w:lineRule="auto"/>
              <w:jc w:val="center"/>
              <w:rPr>
                <w:color w:val="auto"/>
                <w:sz w:val="16"/>
              </w:rPr>
            </w:pPr>
            <w:r w:rsidRPr="00C65918">
              <w:rPr>
                <w:color w:val="auto"/>
                <w:sz w:val="16"/>
              </w:rPr>
              <w:t>No</w:t>
            </w:r>
          </w:p>
        </w:tc>
        <w:tc>
          <w:tcPr>
            <w:tcW w:w="953" w:type="dxa"/>
          </w:tcPr>
          <w:p w14:paraId="790AFCC5" w14:textId="77777777" w:rsidR="00EA0BF3" w:rsidRPr="00C65918" w:rsidRDefault="00EA0BF3" w:rsidP="00DE39A6">
            <w:pPr>
              <w:spacing w:line="240" w:lineRule="auto"/>
              <w:jc w:val="center"/>
              <w:rPr>
                <w:color w:val="auto"/>
                <w:sz w:val="16"/>
              </w:rPr>
            </w:pPr>
            <w:r w:rsidRPr="00C65918">
              <w:rPr>
                <w:color w:val="auto"/>
                <w:sz w:val="16"/>
              </w:rPr>
              <w:t>No</w:t>
            </w:r>
          </w:p>
        </w:tc>
      </w:tr>
      <w:tr w:rsidR="00B74496" w:rsidRPr="00C65918" w14:paraId="6A53E86D" w14:textId="77777777" w:rsidTr="005E43EF">
        <w:trPr>
          <w:trHeight w:val="508"/>
        </w:trPr>
        <w:tc>
          <w:tcPr>
            <w:tcW w:w="2155" w:type="dxa"/>
            <w:noWrap/>
          </w:tcPr>
          <w:p w14:paraId="297CE375" w14:textId="525326E8" w:rsidR="00B74496" w:rsidRPr="00C65918" w:rsidRDefault="00B74496" w:rsidP="00DE39A6">
            <w:pPr>
              <w:spacing w:line="240" w:lineRule="auto"/>
              <w:rPr>
                <w:color w:val="auto"/>
                <w:sz w:val="16"/>
              </w:rPr>
            </w:pPr>
            <w:r>
              <w:rPr>
                <w:color w:val="auto"/>
                <w:sz w:val="16"/>
              </w:rPr>
              <w:t xml:space="preserve">Infrastructure </w:t>
            </w:r>
          </w:p>
        </w:tc>
        <w:tc>
          <w:tcPr>
            <w:tcW w:w="1126" w:type="dxa"/>
            <w:noWrap/>
          </w:tcPr>
          <w:p w14:paraId="372EB754" w14:textId="25D25F00" w:rsidR="00B74496" w:rsidRPr="00C65918" w:rsidRDefault="00B74496" w:rsidP="00EA0BF3">
            <w:pPr>
              <w:spacing w:line="240" w:lineRule="auto"/>
              <w:jc w:val="center"/>
              <w:rPr>
                <w:color w:val="auto"/>
                <w:sz w:val="16"/>
              </w:rPr>
            </w:pPr>
            <w:r>
              <w:rPr>
                <w:color w:val="auto"/>
                <w:sz w:val="16"/>
              </w:rPr>
              <w:t>7.5</w:t>
            </w:r>
          </w:p>
        </w:tc>
        <w:tc>
          <w:tcPr>
            <w:tcW w:w="955" w:type="dxa"/>
          </w:tcPr>
          <w:p w14:paraId="163BD15B" w14:textId="743DCFB9" w:rsidR="00B74496" w:rsidRPr="00C65918" w:rsidRDefault="00B74496" w:rsidP="00DE39A6">
            <w:pPr>
              <w:spacing w:line="240" w:lineRule="auto"/>
              <w:jc w:val="center"/>
              <w:rPr>
                <w:color w:val="auto"/>
                <w:sz w:val="16"/>
              </w:rPr>
            </w:pPr>
            <w:r>
              <w:rPr>
                <w:color w:val="auto"/>
                <w:sz w:val="16"/>
              </w:rPr>
              <w:t>Yes</w:t>
            </w:r>
          </w:p>
        </w:tc>
        <w:tc>
          <w:tcPr>
            <w:tcW w:w="1030" w:type="dxa"/>
          </w:tcPr>
          <w:p w14:paraId="0FDB609C" w14:textId="11249C2A" w:rsidR="00B74496" w:rsidRPr="00C65918" w:rsidRDefault="00B74496" w:rsidP="00DE39A6">
            <w:pPr>
              <w:spacing w:line="240" w:lineRule="auto"/>
              <w:jc w:val="center"/>
              <w:rPr>
                <w:color w:val="auto"/>
                <w:sz w:val="16"/>
              </w:rPr>
            </w:pPr>
            <w:r>
              <w:rPr>
                <w:color w:val="auto"/>
                <w:sz w:val="16"/>
              </w:rPr>
              <w:t>No</w:t>
            </w:r>
          </w:p>
        </w:tc>
        <w:tc>
          <w:tcPr>
            <w:tcW w:w="790" w:type="dxa"/>
          </w:tcPr>
          <w:p w14:paraId="6E15FE43" w14:textId="0142B0FC" w:rsidR="00B74496" w:rsidRPr="00C65918" w:rsidRDefault="00B74496" w:rsidP="00DE39A6">
            <w:pPr>
              <w:spacing w:line="240" w:lineRule="auto"/>
              <w:jc w:val="center"/>
              <w:rPr>
                <w:color w:val="auto"/>
                <w:sz w:val="16"/>
              </w:rPr>
            </w:pPr>
            <w:r>
              <w:rPr>
                <w:color w:val="auto"/>
                <w:sz w:val="16"/>
              </w:rPr>
              <w:t>Yes</w:t>
            </w:r>
          </w:p>
        </w:tc>
        <w:tc>
          <w:tcPr>
            <w:tcW w:w="1030" w:type="dxa"/>
          </w:tcPr>
          <w:p w14:paraId="5CC83604" w14:textId="11C609A6" w:rsidR="00B74496" w:rsidRPr="00C65918" w:rsidRDefault="00B74496" w:rsidP="00DE39A6">
            <w:pPr>
              <w:spacing w:line="240" w:lineRule="auto"/>
              <w:jc w:val="center"/>
              <w:rPr>
                <w:color w:val="auto"/>
                <w:sz w:val="16"/>
              </w:rPr>
            </w:pPr>
            <w:r>
              <w:rPr>
                <w:color w:val="auto"/>
                <w:sz w:val="16"/>
              </w:rPr>
              <w:t>Yes</w:t>
            </w:r>
          </w:p>
        </w:tc>
        <w:tc>
          <w:tcPr>
            <w:tcW w:w="905" w:type="dxa"/>
          </w:tcPr>
          <w:p w14:paraId="07CD2407" w14:textId="6F828E43" w:rsidR="00B74496" w:rsidRPr="00C65918" w:rsidRDefault="00B74496" w:rsidP="00DE39A6">
            <w:pPr>
              <w:spacing w:line="240" w:lineRule="auto"/>
              <w:jc w:val="center"/>
              <w:rPr>
                <w:color w:val="auto"/>
                <w:sz w:val="16"/>
              </w:rPr>
            </w:pPr>
            <w:r>
              <w:rPr>
                <w:color w:val="auto"/>
                <w:sz w:val="16"/>
              </w:rPr>
              <w:t>No</w:t>
            </w:r>
          </w:p>
        </w:tc>
        <w:tc>
          <w:tcPr>
            <w:tcW w:w="953" w:type="dxa"/>
          </w:tcPr>
          <w:p w14:paraId="63EBDB96" w14:textId="403CC747" w:rsidR="00B74496" w:rsidRPr="00C65918" w:rsidRDefault="00B74496" w:rsidP="00DE39A6">
            <w:pPr>
              <w:spacing w:line="240" w:lineRule="auto"/>
              <w:jc w:val="center"/>
              <w:rPr>
                <w:color w:val="auto"/>
                <w:sz w:val="16"/>
              </w:rPr>
            </w:pPr>
            <w:r>
              <w:rPr>
                <w:color w:val="auto"/>
                <w:sz w:val="16"/>
              </w:rPr>
              <w:t>No</w:t>
            </w:r>
          </w:p>
        </w:tc>
      </w:tr>
      <w:tr w:rsidR="00EA0BF3" w:rsidRPr="00C65918" w14:paraId="28C1A196" w14:textId="77777777" w:rsidTr="005E43EF">
        <w:trPr>
          <w:trHeight w:val="199"/>
        </w:trPr>
        <w:tc>
          <w:tcPr>
            <w:tcW w:w="2155" w:type="dxa"/>
            <w:noWrap/>
            <w:hideMark/>
          </w:tcPr>
          <w:p w14:paraId="654C7E9C" w14:textId="77777777" w:rsidR="00EA0BF3" w:rsidRPr="00C65918" w:rsidRDefault="00EA0BF3" w:rsidP="00DE39A6">
            <w:pPr>
              <w:spacing w:line="240" w:lineRule="auto"/>
              <w:rPr>
                <w:b/>
                <w:bCs/>
                <w:color w:val="auto"/>
                <w:sz w:val="16"/>
              </w:rPr>
            </w:pPr>
            <w:r w:rsidRPr="00C65918">
              <w:rPr>
                <w:b/>
                <w:bCs/>
                <w:color w:val="auto"/>
                <w:sz w:val="16"/>
              </w:rPr>
              <w:t>Total Target Allocation</w:t>
            </w:r>
          </w:p>
        </w:tc>
        <w:tc>
          <w:tcPr>
            <w:tcW w:w="1126" w:type="dxa"/>
            <w:hideMark/>
          </w:tcPr>
          <w:p w14:paraId="42A2133F" w14:textId="77777777" w:rsidR="00EA0BF3" w:rsidRPr="00C65918" w:rsidRDefault="00EA0BF3" w:rsidP="00DE39A6">
            <w:pPr>
              <w:spacing w:line="240" w:lineRule="auto"/>
              <w:jc w:val="center"/>
              <w:rPr>
                <w:b/>
                <w:bCs/>
                <w:color w:val="auto"/>
                <w:sz w:val="16"/>
              </w:rPr>
            </w:pPr>
            <w:r w:rsidRPr="00C65918">
              <w:rPr>
                <w:b/>
                <w:bCs/>
                <w:color w:val="auto"/>
                <w:sz w:val="16"/>
              </w:rPr>
              <w:t>100%</w:t>
            </w:r>
          </w:p>
        </w:tc>
        <w:tc>
          <w:tcPr>
            <w:tcW w:w="955" w:type="dxa"/>
            <w:noWrap/>
            <w:hideMark/>
          </w:tcPr>
          <w:p w14:paraId="5EC92151" w14:textId="77777777" w:rsidR="00EA0BF3" w:rsidRPr="00C65918" w:rsidRDefault="00EA0BF3" w:rsidP="00DE39A6">
            <w:pPr>
              <w:spacing w:line="240" w:lineRule="auto"/>
              <w:jc w:val="center"/>
              <w:rPr>
                <w:b/>
                <w:bCs/>
                <w:color w:val="auto"/>
                <w:sz w:val="16"/>
              </w:rPr>
            </w:pPr>
          </w:p>
        </w:tc>
        <w:tc>
          <w:tcPr>
            <w:tcW w:w="1030" w:type="dxa"/>
            <w:noWrap/>
            <w:hideMark/>
          </w:tcPr>
          <w:p w14:paraId="650FFA90" w14:textId="77777777" w:rsidR="00EA0BF3" w:rsidRPr="00C65918" w:rsidRDefault="00EA0BF3" w:rsidP="00DE39A6">
            <w:pPr>
              <w:spacing w:line="240" w:lineRule="auto"/>
              <w:rPr>
                <w:color w:val="auto"/>
                <w:sz w:val="16"/>
              </w:rPr>
            </w:pPr>
          </w:p>
        </w:tc>
        <w:tc>
          <w:tcPr>
            <w:tcW w:w="790" w:type="dxa"/>
            <w:noWrap/>
            <w:hideMark/>
          </w:tcPr>
          <w:p w14:paraId="310C53DC" w14:textId="77777777" w:rsidR="00EA0BF3" w:rsidRPr="00C65918" w:rsidRDefault="00EA0BF3" w:rsidP="00DE39A6">
            <w:pPr>
              <w:spacing w:line="240" w:lineRule="auto"/>
              <w:rPr>
                <w:color w:val="auto"/>
                <w:sz w:val="16"/>
              </w:rPr>
            </w:pPr>
          </w:p>
        </w:tc>
        <w:tc>
          <w:tcPr>
            <w:tcW w:w="1030" w:type="dxa"/>
            <w:noWrap/>
            <w:hideMark/>
          </w:tcPr>
          <w:p w14:paraId="40F9E7D4" w14:textId="77777777" w:rsidR="00EA0BF3" w:rsidRPr="00C65918" w:rsidRDefault="00EA0BF3" w:rsidP="00DE39A6">
            <w:pPr>
              <w:spacing w:line="240" w:lineRule="auto"/>
              <w:rPr>
                <w:color w:val="auto"/>
                <w:sz w:val="16"/>
              </w:rPr>
            </w:pPr>
          </w:p>
        </w:tc>
        <w:tc>
          <w:tcPr>
            <w:tcW w:w="905" w:type="dxa"/>
            <w:noWrap/>
            <w:hideMark/>
          </w:tcPr>
          <w:p w14:paraId="4E3F7FBD" w14:textId="77777777" w:rsidR="00EA0BF3" w:rsidRPr="00C65918" w:rsidRDefault="00EA0BF3" w:rsidP="00DE39A6">
            <w:pPr>
              <w:spacing w:line="240" w:lineRule="auto"/>
              <w:rPr>
                <w:color w:val="auto"/>
                <w:sz w:val="16"/>
              </w:rPr>
            </w:pPr>
          </w:p>
        </w:tc>
        <w:tc>
          <w:tcPr>
            <w:tcW w:w="953" w:type="dxa"/>
            <w:noWrap/>
            <w:hideMark/>
          </w:tcPr>
          <w:p w14:paraId="751459B0" w14:textId="77777777" w:rsidR="00EA0BF3" w:rsidRPr="00C65918" w:rsidRDefault="00EA0BF3" w:rsidP="00DE39A6">
            <w:pPr>
              <w:spacing w:line="240" w:lineRule="auto"/>
              <w:rPr>
                <w:color w:val="auto"/>
                <w:sz w:val="16"/>
              </w:rPr>
            </w:pPr>
          </w:p>
        </w:tc>
      </w:tr>
      <w:bookmarkEnd w:id="13"/>
    </w:tbl>
    <w:p w14:paraId="6136DC68" w14:textId="3FAAF770" w:rsidR="00EA0BF3" w:rsidRDefault="00EA0BF3" w:rsidP="00AC72BE">
      <w:pPr>
        <w:spacing w:line="259" w:lineRule="auto"/>
        <w:ind w:left="11" w:right="198" w:hanging="11"/>
      </w:pPr>
    </w:p>
    <w:p w14:paraId="1DC3C2DB" w14:textId="77777777" w:rsidR="00EA0BF3" w:rsidRDefault="00EA0BF3" w:rsidP="00EA0BF3">
      <w:pPr>
        <w:spacing w:line="259" w:lineRule="auto"/>
        <w:ind w:left="11" w:right="198" w:hanging="11"/>
      </w:pPr>
      <w:r>
        <w:t>The graph below illustrates the linkage of the asset allocation to the key investment risk factors shown in the table above. The ongoing monitoring of the Investment Strategy will review the adequacy of the strategy against these factor risks.</w:t>
      </w:r>
    </w:p>
    <w:p w14:paraId="360D45C2" w14:textId="4FA1955C" w:rsidR="006B3163" w:rsidRDefault="00027CC4">
      <w:pPr>
        <w:spacing w:line="259" w:lineRule="auto"/>
        <w:ind w:left="14" w:firstLine="0"/>
      </w:pPr>
      <w:r>
        <w:rPr>
          <w:i/>
        </w:rPr>
        <w:lastRenderedPageBreak/>
        <w:t xml:space="preserve"> </w:t>
      </w:r>
      <w:r>
        <w:t xml:space="preserve"> </w:t>
      </w:r>
      <w:r w:rsidR="00CB67C9">
        <w:rPr>
          <w:noProof/>
        </w:rPr>
        <w:drawing>
          <wp:inline distT="0" distB="0" distL="0" distR="0" wp14:anchorId="04EBBB80" wp14:editId="61876AEE">
            <wp:extent cx="6523355" cy="3327400"/>
            <wp:effectExtent l="0" t="0" r="10795" b="6350"/>
            <wp:docPr id="2" name="Chart 2">
              <a:extLst xmlns:a="http://schemas.openxmlformats.org/drawingml/2006/main">
                <a:ext uri="{FF2B5EF4-FFF2-40B4-BE49-F238E27FC236}">
                  <a16:creationId xmlns:a16="http://schemas.microsoft.com/office/drawing/2014/main" id="{226D81BB-5592-CF26-C8CD-CB456DBB39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0D45C3" w14:textId="77777777" w:rsidR="006B3163" w:rsidRDefault="00027CC4">
      <w:pPr>
        <w:spacing w:after="113" w:line="259" w:lineRule="auto"/>
        <w:ind w:left="14" w:firstLine="0"/>
      </w:pPr>
      <w:r>
        <w:rPr>
          <w:i/>
        </w:rPr>
        <w:t xml:space="preserve"> </w:t>
      </w:r>
      <w:r>
        <w:t xml:space="preserve"> </w:t>
      </w:r>
    </w:p>
    <w:p w14:paraId="360D45C4" w14:textId="1A557C32" w:rsidR="006B3163" w:rsidRPr="00E230F1" w:rsidRDefault="00FE7307" w:rsidP="00E230F1">
      <w:pPr>
        <w:pStyle w:val="Heading2"/>
        <w:numPr>
          <w:ilvl w:val="0"/>
          <w:numId w:val="12"/>
        </w:numPr>
        <w:spacing w:after="120" w:line="259" w:lineRule="auto"/>
        <w:rPr>
          <w:color w:val="auto"/>
        </w:rPr>
      </w:pPr>
      <w:bookmarkStart w:id="14" w:name="_Toc77166437"/>
      <w:r w:rsidRPr="00E230F1">
        <w:rPr>
          <w:rFonts w:ascii="Arial" w:hAnsi="Arial" w:cs="Arial"/>
          <w:color w:val="auto"/>
        </w:rPr>
        <w:t>ASSET POOLING</w:t>
      </w:r>
      <w:bookmarkEnd w:id="14"/>
      <w:r w:rsidRPr="00E230F1">
        <w:rPr>
          <w:rFonts w:ascii="Arial" w:hAnsi="Arial" w:cs="Arial"/>
          <w:color w:val="auto"/>
        </w:rPr>
        <w:t xml:space="preserve">  </w:t>
      </w:r>
    </w:p>
    <w:p w14:paraId="3346A1A2" w14:textId="63105636" w:rsidR="002E29A6" w:rsidRPr="002D4983" w:rsidRDefault="002E29A6" w:rsidP="002D4983">
      <w:pPr>
        <w:spacing w:after="215"/>
        <w:ind w:left="9" w:right="198"/>
      </w:pPr>
      <w:r w:rsidRPr="002D4983">
        <w:t xml:space="preserve">The Fund is a member of the ACCESS </w:t>
      </w:r>
      <w:r w:rsidR="00A415ED">
        <w:t>P</w:t>
      </w:r>
      <w:r w:rsidRPr="002D4983">
        <w:t>ool, formed with ten like-minded LGPS funds to implement asset pool</w:t>
      </w:r>
      <w:r w:rsidR="00550CE5">
        <w:t>ing</w:t>
      </w:r>
      <w:r w:rsidRPr="002D4983">
        <w:t xml:space="preserve"> in response to the Government’s LGPS reform agenda. The </w:t>
      </w:r>
      <w:r>
        <w:t xml:space="preserve">Government’s </w:t>
      </w:r>
      <w:r w:rsidRPr="002D4983">
        <w:t xml:space="preserve">aim is to encourage LGPS Funds to work together to “pool investments to significantly reduce costs, while maintaining investment performance.” </w:t>
      </w:r>
      <w:r>
        <w:t>The eleven funds submitted the proposal to form ACCESS in July 2016, as the voluntary grouping at that time me</w:t>
      </w:r>
      <w:r w:rsidR="006C228F">
        <w:t>t</w:t>
      </w:r>
      <w:r>
        <w:t xml:space="preserve"> the Governments criteria </w:t>
      </w:r>
      <w:r w:rsidR="006C228F">
        <w:t xml:space="preserve">for scale, collectively having </w:t>
      </w:r>
      <w:r>
        <w:t>aggregate assets under management of at least £25bn.</w:t>
      </w:r>
    </w:p>
    <w:p w14:paraId="360D45C5" w14:textId="6CE25777" w:rsidR="006B3163" w:rsidRDefault="002E29A6">
      <w:pPr>
        <w:spacing w:after="215"/>
        <w:ind w:left="9" w:right="198"/>
      </w:pPr>
      <w:r>
        <w:t xml:space="preserve">The full membership of the </w:t>
      </w:r>
      <w:r w:rsidR="00027CC4">
        <w:t xml:space="preserve">ACCESS </w:t>
      </w:r>
      <w:r w:rsidR="00A415ED">
        <w:t>P</w:t>
      </w:r>
      <w:r w:rsidR="00027CC4">
        <w:t xml:space="preserve">ool </w:t>
      </w:r>
      <w:r>
        <w:t xml:space="preserve">comprises the </w:t>
      </w:r>
      <w:r w:rsidR="00027CC4">
        <w:t>following pension funds</w:t>
      </w:r>
      <w:r w:rsidR="00EC1DEC">
        <w:t xml:space="preserve"> (collectively </w:t>
      </w:r>
      <w:r w:rsidR="00BC0377">
        <w:t xml:space="preserve">“ACCESS” or the </w:t>
      </w:r>
      <w:r w:rsidR="00EC1DEC">
        <w:t>”ACCESS funds”)</w:t>
      </w:r>
      <w:r w:rsidR="00027CC4">
        <w:t xml:space="preserve">:  </w:t>
      </w:r>
    </w:p>
    <w:p w14:paraId="0598AB13" w14:textId="77777777" w:rsidR="002E29A6" w:rsidRDefault="002E29A6">
      <w:pPr>
        <w:spacing w:after="39"/>
        <w:ind w:left="744" w:right="198"/>
      </w:pPr>
      <w:r>
        <w:t>Cambridgeshire</w:t>
      </w:r>
    </w:p>
    <w:p w14:paraId="360D45C6" w14:textId="5E4E86DD" w:rsidR="006B3163" w:rsidRDefault="00027CC4">
      <w:pPr>
        <w:spacing w:after="39"/>
        <w:ind w:left="744" w:right="198"/>
      </w:pPr>
      <w:r>
        <w:t>East Sussex</w:t>
      </w:r>
    </w:p>
    <w:p w14:paraId="360D45C7" w14:textId="70EF860A" w:rsidR="006B3163" w:rsidRDefault="00027CC4">
      <w:pPr>
        <w:spacing w:after="37"/>
        <w:ind w:left="744" w:right="198"/>
      </w:pPr>
      <w:r>
        <w:t>Essex</w:t>
      </w:r>
    </w:p>
    <w:p w14:paraId="360D45C8" w14:textId="2FF62778" w:rsidR="006B3163" w:rsidRDefault="00027CC4">
      <w:pPr>
        <w:spacing w:after="37"/>
        <w:ind w:left="744" w:right="198"/>
      </w:pPr>
      <w:r>
        <w:t>Hampshire</w:t>
      </w:r>
    </w:p>
    <w:p w14:paraId="360D45C9" w14:textId="1154E78F" w:rsidR="006B3163" w:rsidRDefault="00027CC4">
      <w:pPr>
        <w:spacing w:after="37"/>
        <w:ind w:left="744" w:right="198"/>
      </w:pPr>
      <w:r>
        <w:t>Hertfordshire</w:t>
      </w:r>
    </w:p>
    <w:p w14:paraId="360D45CA" w14:textId="01441EF0" w:rsidR="006B3163" w:rsidRDefault="00027CC4">
      <w:pPr>
        <w:spacing w:after="37"/>
        <w:ind w:left="744" w:right="198"/>
      </w:pPr>
      <w:r>
        <w:t>Isle of Wight</w:t>
      </w:r>
    </w:p>
    <w:p w14:paraId="360D45CB" w14:textId="5DB1F273" w:rsidR="006B3163" w:rsidRDefault="00027CC4">
      <w:pPr>
        <w:spacing w:after="38"/>
        <w:ind w:left="744" w:right="198"/>
      </w:pPr>
      <w:r>
        <w:t>Kent</w:t>
      </w:r>
    </w:p>
    <w:p w14:paraId="360D45CC" w14:textId="0EAF0F51" w:rsidR="006B3163" w:rsidRDefault="00027CC4">
      <w:pPr>
        <w:spacing w:after="37"/>
        <w:ind w:left="744" w:right="198"/>
      </w:pPr>
      <w:r>
        <w:t>Norfolk</w:t>
      </w:r>
    </w:p>
    <w:p w14:paraId="360D45CD" w14:textId="6CEB5703" w:rsidR="006B3163" w:rsidRDefault="00027CC4">
      <w:pPr>
        <w:spacing w:after="37"/>
        <w:ind w:left="744" w:right="198"/>
      </w:pPr>
      <w:r>
        <w:t>Northamptonshire</w:t>
      </w:r>
    </w:p>
    <w:p w14:paraId="360D45CE" w14:textId="1B75FDF6" w:rsidR="006B3163" w:rsidRDefault="00027CC4">
      <w:pPr>
        <w:spacing w:after="37"/>
        <w:ind w:left="744" w:right="198"/>
      </w:pPr>
      <w:r>
        <w:t>Suffolk</w:t>
      </w:r>
    </w:p>
    <w:p w14:paraId="360D45CF" w14:textId="611FB41A" w:rsidR="006B3163" w:rsidRDefault="00027CC4" w:rsidP="00AC72BE">
      <w:pPr>
        <w:spacing w:after="240" w:line="259" w:lineRule="auto"/>
        <w:ind w:left="742" w:right="198" w:hanging="11"/>
      </w:pPr>
      <w:r>
        <w:t>West Sussex</w:t>
      </w:r>
    </w:p>
    <w:p w14:paraId="360D45D3" w14:textId="189C8130" w:rsidR="006B3163" w:rsidRDefault="00027CC4" w:rsidP="00E230F1">
      <w:pPr>
        <w:ind w:left="9" w:right="198"/>
      </w:pPr>
      <w:r>
        <w:lastRenderedPageBreak/>
        <w:t xml:space="preserve">All eleven funds are committed to collaboratively working together to meet the criteria for pooling and have signed </w:t>
      </w:r>
      <w:r w:rsidR="006E3FD3">
        <w:t xml:space="preserve">an Inter-Authority Agreement to underpin their partnership. The </w:t>
      </w:r>
      <w:r>
        <w:t xml:space="preserve">ACCESS </w:t>
      </w:r>
      <w:r w:rsidR="006E3FD3">
        <w:t xml:space="preserve">funds </w:t>
      </w:r>
      <w:r>
        <w:t>are working in the expectation that, over time, all investments will be pooled apart from where there is a no value for money benefit to pooling a specific investment as identified and agreed by an individual fund.</w:t>
      </w:r>
    </w:p>
    <w:p w14:paraId="360D45D4" w14:textId="2BD16A05" w:rsidR="006B3163" w:rsidRDefault="006E3FD3">
      <w:pPr>
        <w:ind w:left="9" w:right="198"/>
      </w:pPr>
      <w:r>
        <w:t xml:space="preserve">Asset </w:t>
      </w:r>
      <w:r w:rsidR="00027CC4">
        <w:t xml:space="preserve">pooling is intended to provide the </w:t>
      </w:r>
      <w:r w:rsidR="00D40312">
        <w:t xml:space="preserve">benefits of </w:t>
      </w:r>
      <w:r w:rsidR="00027CC4">
        <w:t xml:space="preserve">scale that will </w:t>
      </w:r>
      <w:r w:rsidR="00D40312">
        <w:t xml:space="preserve">enable </w:t>
      </w:r>
      <w:r w:rsidR="00794F2A">
        <w:t xml:space="preserve">the Fund </w:t>
      </w:r>
      <w:r w:rsidR="00D40312">
        <w:t xml:space="preserve">to </w:t>
      </w:r>
      <w:r w:rsidR="00794F2A">
        <w:t>meet</w:t>
      </w:r>
      <w:r w:rsidR="00D40312">
        <w:t xml:space="preserve"> its </w:t>
      </w:r>
      <w:r w:rsidR="00027CC4">
        <w:t>Value for Money objective</w:t>
      </w:r>
      <w:r w:rsidR="00D40312">
        <w:t>,</w:t>
      </w:r>
      <w:r w:rsidR="00027CC4">
        <w:t xml:space="preserve"> defined as recognising net return over absolute cost. In the pooled investment structure individual funds will remain responsible for their own investment strategy and asset allocation decisions. The pool will be responsible for selecting a suitable number of Investment Managers </w:t>
      </w:r>
      <w:proofErr w:type="gramStart"/>
      <w:r w:rsidR="00027CC4">
        <w:t>in order to</w:t>
      </w:r>
      <w:proofErr w:type="gramEnd"/>
      <w:r w:rsidR="00027CC4">
        <w:t xml:space="preserve"> meet the requirements of all of the funds’ investment strategies.</w:t>
      </w:r>
    </w:p>
    <w:p w14:paraId="1BDD1B35" w14:textId="415E7A95" w:rsidR="00EC1DEC" w:rsidRDefault="00EC1DEC">
      <w:pPr>
        <w:ind w:left="9" w:right="198"/>
      </w:pPr>
      <w:r>
        <w:t xml:space="preserve">Link Financial Services (“Link”) have been appointed the operator of the ACCESS ACS (Authorised Contractual Scheme – an HMRC approved tax transparent collective investment vehicle), through which the eleven funds invest in liquid listed investments. The ACCESS funds are investigating the structures through which Alternative assets can be pooled. </w:t>
      </w:r>
    </w:p>
    <w:p w14:paraId="360D45D6" w14:textId="04E59A59" w:rsidR="006B3163" w:rsidRPr="00E230F1" w:rsidRDefault="00111EEF" w:rsidP="00E230F1">
      <w:pPr>
        <w:spacing w:after="240" w:line="259" w:lineRule="auto"/>
        <w:ind w:left="11" w:hanging="11"/>
        <w:rPr>
          <w:rFonts w:eastAsia="Times New Roman"/>
        </w:rPr>
      </w:pPr>
      <w:r>
        <w:rPr>
          <w:rFonts w:eastAsia="Times New Roman"/>
        </w:rPr>
        <w:t>Northamptonshire</w:t>
      </w:r>
      <w:r w:rsidR="00027CC4" w:rsidRPr="00E230F1">
        <w:rPr>
          <w:rFonts w:eastAsia="Times New Roman"/>
        </w:rPr>
        <w:t xml:space="preserve"> will not pool cash held for the efficient administration of the scheme, which is needed to manage cash flow to meet statutory liabilities including monthly pension payroll payments.</w:t>
      </w:r>
    </w:p>
    <w:p w14:paraId="05096208" w14:textId="77777777" w:rsidR="00F40406" w:rsidRPr="002D4983" w:rsidRDefault="00FE7307">
      <w:pPr>
        <w:pStyle w:val="Heading2"/>
        <w:numPr>
          <w:ilvl w:val="0"/>
          <w:numId w:val="12"/>
        </w:numPr>
        <w:spacing w:after="120" w:line="259" w:lineRule="auto"/>
        <w:rPr>
          <w:rFonts w:ascii="Arial" w:hAnsi="Arial" w:cs="Arial"/>
          <w:color w:val="auto"/>
        </w:rPr>
      </w:pPr>
      <w:bookmarkStart w:id="15" w:name="_Toc77166438"/>
      <w:r w:rsidRPr="00F40406">
        <w:rPr>
          <w:rFonts w:ascii="Arial" w:hAnsi="Arial" w:cs="Arial"/>
          <w:color w:val="auto"/>
        </w:rPr>
        <w:t>RESPONSIBLE INVESTMENT POLICY</w:t>
      </w:r>
      <w:bookmarkEnd w:id="15"/>
    </w:p>
    <w:p w14:paraId="2C5D005B" w14:textId="77777777" w:rsidR="00740D58" w:rsidRDefault="00740D58" w:rsidP="002D4983">
      <w:pPr>
        <w:spacing w:after="240" w:line="259" w:lineRule="auto"/>
        <w:ind w:left="11" w:hanging="11"/>
        <w:rPr>
          <w:rFonts w:eastAsia="Times New Roman"/>
        </w:rPr>
      </w:pPr>
      <w:r>
        <w:rPr>
          <w:rFonts w:eastAsia="Times New Roman"/>
        </w:rPr>
        <w:t>Background</w:t>
      </w:r>
    </w:p>
    <w:p w14:paraId="3B56542A" w14:textId="196F7BCD" w:rsidR="00855112" w:rsidRPr="002D4983" w:rsidRDefault="00F40406" w:rsidP="002D4983">
      <w:pPr>
        <w:spacing w:after="240" w:line="259" w:lineRule="auto"/>
        <w:ind w:left="11" w:hanging="11"/>
        <w:rPr>
          <w:rFonts w:eastAsia="Times New Roman"/>
        </w:rPr>
      </w:pPr>
      <w:r w:rsidRPr="002D4983">
        <w:rPr>
          <w:rFonts w:eastAsia="Times New Roman"/>
        </w:rPr>
        <w:t xml:space="preserve">The </w:t>
      </w:r>
      <w:r w:rsidR="00740D58">
        <w:rPr>
          <w:rFonts w:eastAsia="Times New Roman"/>
        </w:rPr>
        <w:t xml:space="preserve">Fund is required by the </w:t>
      </w:r>
      <w:r w:rsidRPr="002D4983">
        <w:rPr>
          <w:rFonts w:eastAsia="Times New Roman"/>
        </w:rPr>
        <w:t xml:space="preserve">Regulations </w:t>
      </w:r>
      <w:r w:rsidR="00740D58">
        <w:rPr>
          <w:rFonts w:eastAsia="Times New Roman"/>
        </w:rPr>
        <w:t xml:space="preserve">to </w:t>
      </w:r>
      <w:r w:rsidRPr="002D4983">
        <w:rPr>
          <w:rFonts w:eastAsia="Times New Roman"/>
        </w:rPr>
        <w:t xml:space="preserve">include </w:t>
      </w:r>
      <w:r w:rsidR="00740D58">
        <w:rPr>
          <w:rFonts w:eastAsia="Times New Roman"/>
        </w:rPr>
        <w:t>in the ISS</w:t>
      </w:r>
      <w:r w:rsidR="00176EA5">
        <w:rPr>
          <w:rFonts w:eastAsia="Times New Roman"/>
        </w:rPr>
        <w:t>:</w:t>
      </w:r>
    </w:p>
    <w:p w14:paraId="4B1A999C" w14:textId="775F0A1E" w:rsidR="00F40406" w:rsidRPr="002D4983" w:rsidRDefault="00F40406" w:rsidP="002D4983">
      <w:pPr>
        <w:spacing w:after="240" w:line="259" w:lineRule="auto"/>
        <w:ind w:left="709" w:hanging="11"/>
        <w:rPr>
          <w:rFonts w:eastAsia="Times New Roman"/>
        </w:rPr>
      </w:pPr>
      <w:r>
        <w:rPr>
          <w:rFonts w:eastAsia="Times New Roman"/>
        </w:rPr>
        <w:t>(a</w:t>
      </w:r>
      <w:r w:rsidRPr="002D4983">
        <w:rPr>
          <w:rFonts w:eastAsia="Times New Roman"/>
        </w:rPr>
        <w:t xml:space="preserve">) the policy on how social, </w:t>
      </w:r>
      <w:proofErr w:type="gramStart"/>
      <w:r w:rsidRPr="002D4983">
        <w:rPr>
          <w:rFonts w:eastAsia="Times New Roman"/>
        </w:rPr>
        <w:t>environmental</w:t>
      </w:r>
      <w:proofErr w:type="gramEnd"/>
      <w:r w:rsidRPr="002D4983">
        <w:rPr>
          <w:rFonts w:eastAsia="Times New Roman"/>
        </w:rPr>
        <w:t xml:space="preserve"> and corporate governance</w:t>
      </w:r>
      <w:r>
        <w:rPr>
          <w:rFonts w:eastAsia="Times New Roman"/>
        </w:rPr>
        <w:t xml:space="preserve"> </w:t>
      </w:r>
      <w:r w:rsidRPr="002D4983">
        <w:rPr>
          <w:rFonts w:eastAsia="Times New Roman"/>
        </w:rPr>
        <w:t>considerations are taken into account in the selection, non-selection, retention and</w:t>
      </w:r>
      <w:r>
        <w:rPr>
          <w:rFonts w:eastAsia="Times New Roman"/>
        </w:rPr>
        <w:t xml:space="preserve"> </w:t>
      </w:r>
      <w:r w:rsidRPr="002D4983">
        <w:rPr>
          <w:rFonts w:eastAsia="Times New Roman"/>
        </w:rPr>
        <w:t>realisation of investments; and</w:t>
      </w:r>
    </w:p>
    <w:p w14:paraId="788ED726" w14:textId="14140D2C" w:rsidR="00F40406" w:rsidRPr="002D4983" w:rsidRDefault="00F40406" w:rsidP="002D4983">
      <w:pPr>
        <w:spacing w:after="240" w:line="259" w:lineRule="auto"/>
        <w:ind w:left="709" w:hanging="11"/>
        <w:rPr>
          <w:rFonts w:eastAsia="Times New Roman"/>
        </w:rPr>
      </w:pPr>
      <w:r w:rsidRPr="0083678E">
        <w:rPr>
          <w:rFonts w:eastAsia="Times New Roman"/>
        </w:rPr>
        <w:t>(b</w:t>
      </w:r>
      <w:r w:rsidRPr="002D4983">
        <w:rPr>
          <w:rFonts w:eastAsia="Times New Roman"/>
        </w:rPr>
        <w:t>) the policy on the exercise of the rights (including voting rights) attaching to</w:t>
      </w:r>
      <w:r>
        <w:rPr>
          <w:rFonts w:eastAsia="Times New Roman"/>
        </w:rPr>
        <w:t xml:space="preserve"> </w:t>
      </w:r>
      <w:r w:rsidRPr="002D4983">
        <w:rPr>
          <w:rFonts w:eastAsia="Times New Roman"/>
        </w:rPr>
        <w:t>investments.</w:t>
      </w:r>
    </w:p>
    <w:p w14:paraId="39328D77" w14:textId="2C5CC0D9" w:rsidR="00F40406" w:rsidRPr="002D4983" w:rsidRDefault="00F40406" w:rsidP="002D4983">
      <w:pPr>
        <w:spacing w:after="240" w:line="259" w:lineRule="auto"/>
        <w:ind w:left="11" w:hanging="11"/>
        <w:rPr>
          <w:rFonts w:eastAsia="Times New Roman"/>
        </w:rPr>
      </w:pPr>
      <w:r w:rsidRPr="002D4983">
        <w:rPr>
          <w:rFonts w:eastAsia="Times New Roman"/>
        </w:rPr>
        <w:t xml:space="preserve">Responsible Investment (“RI”) </w:t>
      </w:r>
      <w:r>
        <w:rPr>
          <w:rFonts w:eastAsia="Times New Roman"/>
        </w:rPr>
        <w:t xml:space="preserve">has been defined as </w:t>
      </w:r>
      <w:r w:rsidRPr="002D4983">
        <w:rPr>
          <w:rFonts w:eastAsia="Times New Roman"/>
        </w:rPr>
        <w:t>encompass</w:t>
      </w:r>
      <w:r>
        <w:rPr>
          <w:rFonts w:eastAsia="Times New Roman"/>
        </w:rPr>
        <w:t>ing</w:t>
      </w:r>
      <w:r w:rsidRPr="002D4983">
        <w:rPr>
          <w:rFonts w:eastAsia="Times New Roman"/>
        </w:rPr>
        <w:t xml:space="preserve"> both financial and non-financial factors, bringing together environmental, social &amp; corporate governance (“ESG”) factors and broader systemic issues, e.g. climate change and sustainable development, along with active ownership (stewardship</w:t>
      </w:r>
      <w:r>
        <w:rPr>
          <w:rFonts w:eastAsia="Times New Roman"/>
        </w:rPr>
        <w:t xml:space="preserve"> and voting</w:t>
      </w:r>
      <w:r w:rsidRPr="002D4983">
        <w:rPr>
          <w:rFonts w:eastAsia="Times New Roman"/>
        </w:rPr>
        <w:t xml:space="preserve">) as these can have a material impact on financial performance. </w:t>
      </w:r>
    </w:p>
    <w:p w14:paraId="7FCD2741" w14:textId="5E8152F9" w:rsidR="00F40406" w:rsidRPr="002D4983" w:rsidRDefault="00740D58" w:rsidP="009A374E">
      <w:pPr>
        <w:spacing w:after="240" w:line="259" w:lineRule="auto"/>
        <w:ind w:left="11" w:hanging="11"/>
        <w:rPr>
          <w:rFonts w:eastAsia="Times New Roman"/>
        </w:rPr>
      </w:pPr>
      <w:r>
        <w:rPr>
          <w:rFonts w:eastAsia="Times New Roman"/>
        </w:rPr>
        <w:t xml:space="preserve">The RI Policy that follows has been </w:t>
      </w:r>
      <w:r w:rsidR="004E1A44">
        <w:rPr>
          <w:rFonts w:eastAsia="Times New Roman"/>
        </w:rPr>
        <w:t xml:space="preserve">approved by the Committee following a series of training and information events presented by RI specialists from the Fund’s advisers. RI issues have many facets for which authoritative and consistent </w:t>
      </w:r>
      <w:r w:rsidR="00176EA5">
        <w:rPr>
          <w:rFonts w:eastAsia="Times New Roman"/>
        </w:rPr>
        <w:t xml:space="preserve">sources of </w:t>
      </w:r>
      <w:r w:rsidR="004E1A44">
        <w:rPr>
          <w:rFonts w:eastAsia="Times New Roman"/>
        </w:rPr>
        <w:t xml:space="preserve">data </w:t>
      </w:r>
      <w:r w:rsidR="00176EA5">
        <w:rPr>
          <w:rFonts w:eastAsia="Times New Roman"/>
        </w:rPr>
        <w:t>are in their infancy</w:t>
      </w:r>
      <w:r w:rsidR="009A374E">
        <w:rPr>
          <w:rFonts w:eastAsia="Times New Roman"/>
        </w:rPr>
        <w:t>. Seemingly simple investment changes may have unintended consequences</w:t>
      </w:r>
      <w:r w:rsidR="004E1A44">
        <w:rPr>
          <w:rFonts w:eastAsia="Times New Roman"/>
        </w:rPr>
        <w:t xml:space="preserve"> </w:t>
      </w:r>
      <w:r w:rsidR="009A374E">
        <w:rPr>
          <w:rFonts w:eastAsia="Times New Roman"/>
        </w:rPr>
        <w:t xml:space="preserve">for the operation of free markets, local </w:t>
      </w:r>
      <w:proofErr w:type="gramStart"/>
      <w:r w:rsidR="009A374E">
        <w:rPr>
          <w:rFonts w:eastAsia="Times New Roman"/>
        </w:rPr>
        <w:t>communities</w:t>
      </w:r>
      <w:proofErr w:type="gramEnd"/>
      <w:r w:rsidR="009A374E">
        <w:rPr>
          <w:rFonts w:eastAsia="Times New Roman"/>
        </w:rPr>
        <w:t xml:space="preserve"> and the environment</w:t>
      </w:r>
      <w:r w:rsidR="00176EA5">
        <w:rPr>
          <w:rFonts w:eastAsia="Times New Roman"/>
        </w:rPr>
        <w:t xml:space="preserve"> </w:t>
      </w:r>
      <w:r w:rsidR="003624D6">
        <w:rPr>
          <w:rFonts w:eastAsia="Times New Roman"/>
        </w:rPr>
        <w:t xml:space="preserve">as well as </w:t>
      </w:r>
      <w:r w:rsidR="00176EA5">
        <w:rPr>
          <w:rFonts w:eastAsia="Times New Roman"/>
        </w:rPr>
        <w:t>the value of the Fund’s investments</w:t>
      </w:r>
      <w:r w:rsidR="009A374E">
        <w:rPr>
          <w:rFonts w:eastAsia="Times New Roman"/>
        </w:rPr>
        <w:t>. T</w:t>
      </w:r>
      <w:r w:rsidR="004E1A44">
        <w:rPr>
          <w:rFonts w:eastAsia="Times New Roman"/>
        </w:rPr>
        <w:t xml:space="preserve">he Fund needs to take a holistic approach that </w:t>
      </w:r>
      <w:proofErr w:type="gramStart"/>
      <w:r w:rsidR="004E1A44">
        <w:rPr>
          <w:rFonts w:eastAsia="Times New Roman"/>
        </w:rPr>
        <w:t>takes into account</w:t>
      </w:r>
      <w:proofErr w:type="gramEnd"/>
      <w:r w:rsidR="004E1A44">
        <w:rPr>
          <w:rFonts w:eastAsia="Times New Roman"/>
        </w:rPr>
        <w:t xml:space="preserve"> how its policies will impact all citizens and communities as well as direct stakeholders of the Fund </w:t>
      </w:r>
      <w:r w:rsidR="009A374E">
        <w:rPr>
          <w:rFonts w:eastAsia="Times New Roman"/>
        </w:rPr>
        <w:t xml:space="preserve">whilst adhering to the principles of </w:t>
      </w:r>
      <w:r w:rsidR="004E1A44">
        <w:rPr>
          <w:rFonts w:eastAsia="Times New Roman"/>
        </w:rPr>
        <w:t xml:space="preserve">fiduciary </w:t>
      </w:r>
      <w:r w:rsidR="009A374E">
        <w:rPr>
          <w:rFonts w:eastAsia="Times New Roman"/>
        </w:rPr>
        <w:t>duty.</w:t>
      </w:r>
    </w:p>
    <w:p w14:paraId="0C7508E6" w14:textId="76840E4C" w:rsidR="00F40406" w:rsidRPr="002D4983" w:rsidRDefault="004E1A44" w:rsidP="002D4983">
      <w:pPr>
        <w:spacing w:after="240" w:line="259" w:lineRule="auto"/>
        <w:ind w:left="11" w:hanging="11"/>
        <w:rPr>
          <w:rFonts w:eastAsia="Times New Roman"/>
        </w:rPr>
      </w:pPr>
      <w:r w:rsidRPr="002D4983">
        <w:rPr>
          <w:rFonts w:eastAsia="Times New Roman"/>
        </w:rPr>
        <w:t xml:space="preserve">This iteration of the RI policy sets out certain areas that the Fund has prioritised for action </w:t>
      </w:r>
      <w:r w:rsidR="00DB15E6" w:rsidRPr="002D4983">
        <w:rPr>
          <w:rFonts w:eastAsia="Times New Roman"/>
        </w:rPr>
        <w:t xml:space="preserve">which include steps </w:t>
      </w:r>
      <w:r w:rsidRPr="002D4983">
        <w:rPr>
          <w:rFonts w:eastAsia="Times New Roman"/>
        </w:rPr>
        <w:t xml:space="preserve">to </w:t>
      </w:r>
      <w:r w:rsidR="00DB15E6" w:rsidRPr="002D4983">
        <w:rPr>
          <w:rFonts w:eastAsia="Times New Roman"/>
        </w:rPr>
        <w:t xml:space="preserve">better </w:t>
      </w:r>
      <w:r w:rsidRPr="002D4983">
        <w:rPr>
          <w:rFonts w:eastAsia="Times New Roman"/>
        </w:rPr>
        <w:t xml:space="preserve">understand </w:t>
      </w:r>
      <w:r w:rsidR="00DB15E6" w:rsidRPr="002D4983">
        <w:rPr>
          <w:rFonts w:eastAsia="Times New Roman"/>
        </w:rPr>
        <w:t xml:space="preserve">and produce reporting on the Fund’s </w:t>
      </w:r>
      <w:r w:rsidRPr="002D4983">
        <w:rPr>
          <w:rFonts w:eastAsia="Times New Roman"/>
        </w:rPr>
        <w:t>exposures</w:t>
      </w:r>
      <w:r w:rsidR="00DB15E6" w:rsidRPr="002D4983">
        <w:rPr>
          <w:rFonts w:eastAsia="Times New Roman"/>
        </w:rPr>
        <w:t xml:space="preserve"> to ESG risks, primarily from climate change. This analysis will inform the next steps that the Committee need to </w:t>
      </w:r>
      <w:proofErr w:type="gramStart"/>
      <w:r w:rsidR="00DB15E6" w:rsidRPr="002D4983">
        <w:rPr>
          <w:rFonts w:eastAsia="Times New Roman"/>
        </w:rPr>
        <w:t>take</w:t>
      </w:r>
      <w:proofErr w:type="gramEnd"/>
      <w:r w:rsidR="00DB15E6" w:rsidRPr="002D4983">
        <w:rPr>
          <w:rFonts w:eastAsia="Times New Roman"/>
        </w:rPr>
        <w:t xml:space="preserve"> and which will be incorporated in the next iteration of the RI policy. </w:t>
      </w:r>
    </w:p>
    <w:p w14:paraId="79E7AE7D"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6" w:name="_Toc77166439"/>
      <w:r w:rsidRPr="00E230F1">
        <w:rPr>
          <w:rFonts w:ascii="Arial" w:eastAsia="Times New Roman" w:hAnsi="Arial" w:cs="Arial"/>
          <w:color w:val="auto"/>
        </w:rPr>
        <w:lastRenderedPageBreak/>
        <w:t>RESPONSIBLE INVESTING</w:t>
      </w:r>
      <w:bookmarkEnd w:id="16"/>
    </w:p>
    <w:p w14:paraId="481DEC71" w14:textId="77777777" w:rsidR="00855112" w:rsidRPr="00E230F1" w:rsidRDefault="00855112" w:rsidP="00855112">
      <w:pPr>
        <w:rPr>
          <w:rFonts w:eastAsia="Times New Roman"/>
        </w:rPr>
      </w:pPr>
      <w:r w:rsidRPr="00E230F1">
        <w:rPr>
          <w:rFonts w:eastAsia="Times New Roman"/>
        </w:rPr>
        <w:t>The Fund is governed by a Pensions Committee formed of scheme member and scheme employer representatives.</w:t>
      </w:r>
    </w:p>
    <w:p w14:paraId="3F048EC8" w14:textId="77777777" w:rsidR="00855112" w:rsidRPr="00E230F1" w:rsidRDefault="00855112" w:rsidP="00855112">
      <w:pPr>
        <w:rPr>
          <w:rFonts w:eastAsia="Times New Roman"/>
          <w:highlight w:val="yellow"/>
        </w:rPr>
      </w:pPr>
      <w:r w:rsidRPr="00E230F1">
        <w:rPr>
          <w:rFonts w:eastAsia="Times New Roman"/>
        </w:rPr>
        <w:t xml:space="preserve">Members of the Pensions Committee have a fiduciary duty to act in the best interests of its scheme members and other beneficiaries in all financial and non-financial decisions. With respect to the Fund’s investments, to do this effectively there is recognition of the importance of generating sustainable long-term returns. This involves more than an appraisal of financial factors but also </w:t>
      </w:r>
      <w:proofErr w:type="gramStart"/>
      <w:r w:rsidRPr="00E230F1">
        <w:rPr>
          <w:rFonts w:eastAsia="Times New Roman"/>
        </w:rPr>
        <w:t>takes into account</w:t>
      </w:r>
      <w:proofErr w:type="gramEnd"/>
      <w:r w:rsidRPr="00E230F1">
        <w:rPr>
          <w:rFonts w:eastAsia="Times New Roman"/>
        </w:rPr>
        <w:t xml:space="preserve"> non-financial factors such as Environmental, Social and Corporate Governance (“ESG”) issues, including notably, climate change, which may be financially material to the Fund’s investments. There is a growing urgency and continual regulatory development </w:t>
      </w:r>
      <w:proofErr w:type="gramStart"/>
      <w:r w:rsidRPr="00E230F1">
        <w:rPr>
          <w:rFonts w:eastAsia="Times New Roman"/>
        </w:rPr>
        <w:t>with regard to</w:t>
      </w:r>
      <w:proofErr w:type="gramEnd"/>
      <w:r w:rsidRPr="00E230F1">
        <w:rPr>
          <w:rFonts w:eastAsia="Times New Roman"/>
        </w:rPr>
        <w:t xml:space="preserve"> long-term sustainability issues, such as The Climate Change Act 2008 that legally binds the UK to bring all greenhouse gas emission to net-zero by 2050, and the comprehensive ‘apply and explain’ requirements for asset owners set out in the UK Stewardship Code 2020. Therefore, it is imperative that ESG and stewardship (or active ownership) considerations are integrated throughout investment processes and that they are </w:t>
      </w:r>
      <w:proofErr w:type="gramStart"/>
      <w:r w:rsidRPr="00E230F1">
        <w:rPr>
          <w:rFonts w:eastAsia="Times New Roman"/>
        </w:rPr>
        <w:t>taken into account</w:t>
      </w:r>
      <w:proofErr w:type="gramEnd"/>
      <w:r w:rsidRPr="00E230F1">
        <w:rPr>
          <w:rFonts w:eastAsia="Times New Roman"/>
        </w:rPr>
        <w:t xml:space="preserve"> as part of funding and investment strategy setting.</w:t>
      </w:r>
    </w:p>
    <w:p w14:paraId="2CE65F6E" w14:textId="77777777" w:rsidR="00855112" w:rsidRPr="00E230F1" w:rsidRDefault="00855112" w:rsidP="00E230F1">
      <w:pPr>
        <w:spacing w:after="240" w:line="259" w:lineRule="auto"/>
        <w:ind w:left="11" w:hanging="11"/>
        <w:rPr>
          <w:rFonts w:eastAsia="Times New Roman"/>
        </w:rPr>
      </w:pPr>
      <w:r w:rsidRPr="00E230F1">
        <w:rPr>
          <w:rFonts w:eastAsia="Times New Roman"/>
        </w:rPr>
        <w:t>Responsible Investment (“RI”) is the integration of ESG issues into investment processes and stewardship practices in the belief this can positively impact financial performance over the long-term and will serve the best interests of the Fund’s beneficiaries.</w:t>
      </w:r>
    </w:p>
    <w:p w14:paraId="045B4ED3"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7" w:name="_Toc77166440"/>
      <w:r w:rsidRPr="00E230F1">
        <w:rPr>
          <w:rFonts w:ascii="Arial" w:eastAsia="Times New Roman" w:hAnsi="Arial" w:cs="Arial"/>
          <w:color w:val="auto"/>
        </w:rPr>
        <w:t>RESPONSIBLE INVESTMENT BELIEFS</w:t>
      </w:r>
      <w:bookmarkEnd w:id="17"/>
    </w:p>
    <w:p w14:paraId="3DEB958C" w14:textId="77777777" w:rsidR="00855112" w:rsidRPr="00E230F1" w:rsidRDefault="00855112" w:rsidP="00E230F1">
      <w:pPr>
        <w:spacing w:after="240" w:line="259" w:lineRule="auto"/>
        <w:ind w:left="11" w:hanging="11"/>
        <w:rPr>
          <w:rFonts w:eastAsia="Times New Roman"/>
        </w:rPr>
      </w:pPr>
      <w:r w:rsidRPr="00E230F1">
        <w:rPr>
          <w:rFonts w:eastAsia="Times New Roman"/>
        </w:rPr>
        <w:t>The Fund is committed to embedding RI into all aspects of the investment decision-making process and has adopted a set of Responsible Investment Beliefs as set out in the table below. These beliefs have informed the policy set out in section C, below.</w:t>
      </w:r>
    </w:p>
    <w:tbl>
      <w:tblPr>
        <w:tblStyle w:val="TableGrid0"/>
        <w:tblW w:w="0" w:type="auto"/>
        <w:tblLook w:val="04A0" w:firstRow="1" w:lastRow="0" w:firstColumn="1" w:lastColumn="0" w:noHBand="0" w:noVBand="1"/>
        <w:tblCaption w:val="Table setting out Investment Beliefs"/>
      </w:tblPr>
      <w:tblGrid>
        <w:gridCol w:w="1607"/>
        <w:gridCol w:w="8594"/>
      </w:tblGrid>
      <w:tr w:rsidR="00855112" w14:paraId="146699F6" w14:textId="77777777" w:rsidTr="002D4983">
        <w:trPr>
          <w:tblHeader/>
        </w:trPr>
        <w:tc>
          <w:tcPr>
            <w:tcW w:w="1607" w:type="dxa"/>
          </w:tcPr>
          <w:p w14:paraId="11D4EBBC" w14:textId="77777777" w:rsidR="00855112" w:rsidRPr="00E230F1" w:rsidRDefault="00855112" w:rsidP="00F258E8">
            <w:pPr>
              <w:rPr>
                <w:rFonts w:eastAsia="Times New Roman"/>
                <w:bCs/>
              </w:rPr>
            </w:pPr>
            <w:r w:rsidRPr="00E230F1">
              <w:rPr>
                <w:rFonts w:eastAsia="Times New Roman"/>
                <w:bCs/>
              </w:rPr>
              <w:t>Belief</w:t>
            </w:r>
          </w:p>
        </w:tc>
        <w:tc>
          <w:tcPr>
            <w:tcW w:w="8594" w:type="dxa"/>
          </w:tcPr>
          <w:p w14:paraId="306456E7" w14:textId="77777777" w:rsidR="00855112" w:rsidRPr="00AB7475" w:rsidRDefault="00855112" w:rsidP="00F258E8">
            <w:pPr>
              <w:rPr>
                <w:rFonts w:cstheme="minorHAnsi"/>
                <w:lang w:val="en-US"/>
              </w:rPr>
            </w:pPr>
            <w:r>
              <w:rPr>
                <w:rFonts w:cstheme="minorHAnsi"/>
                <w:lang w:val="en-US"/>
              </w:rPr>
              <w:t>Explanation</w:t>
            </w:r>
          </w:p>
        </w:tc>
      </w:tr>
      <w:tr w:rsidR="00855112" w14:paraId="197C1D2A" w14:textId="77777777" w:rsidTr="002D4983">
        <w:tc>
          <w:tcPr>
            <w:tcW w:w="1607" w:type="dxa"/>
          </w:tcPr>
          <w:p w14:paraId="3F2D3521" w14:textId="77777777" w:rsidR="00855112" w:rsidRPr="00E230F1" w:rsidRDefault="00855112" w:rsidP="00F258E8">
            <w:pPr>
              <w:rPr>
                <w:rFonts w:eastAsia="Times New Roman"/>
                <w:bCs/>
              </w:rPr>
            </w:pPr>
            <w:r w:rsidRPr="00E230F1">
              <w:rPr>
                <w:rFonts w:eastAsia="Times New Roman"/>
                <w:bCs/>
              </w:rPr>
              <w:t>Summary</w:t>
            </w:r>
          </w:p>
        </w:tc>
        <w:tc>
          <w:tcPr>
            <w:tcW w:w="8594" w:type="dxa"/>
          </w:tcPr>
          <w:p w14:paraId="445C06C2" w14:textId="77777777" w:rsidR="00855112" w:rsidRPr="00AB7475" w:rsidRDefault="00855112" w:rsidP="00F258E8">
            <w:pPr>
              <w:rPr>
                <w:rFonts w:eastAsia="Times New Roman" w:cstheme="minorHAnsi"/>
              </w:rPr>
            </w:pPr>
            <w:r w:rsidRPr="00AB7475">
              <w:rPr>
                <w:rFonts w:cstheme="minorHAnsi"/>
                <w:lang w:val="en-US"/>
              </w:rPr>
              <w:t xml:space="preserve">Environmental, Social and Corporate Governance (ESG) issues, including climate change, create material risks and opportunities which will influence long term investment performance and the ability of the Fund to achieve its investment and funding objectives. Therefore, good </w:t>
            </w:r>
            <w:r w:rsidRPr="00AB7475">
              <w:rPr>
                <w:rFonts w:cstheme="minorHAnsi"/>
              </w:rPr>
              <w:t>ESG and stewardship practices should be integrated throughout the investment process of the Fund.</w:t>
            </w:r>
          </w:p>
        </w:tc>
      </w:tr>
      <w:tr w:rsidR="00855112" w14:paraId="443FEEE3" w14:textId="77777777" w:rsidTr="002D4983">
        <w:tc>
          <w:tcPr>
            <w:tcW w:w="1607" w:type="dxa"/>
          </w:tcPr>
          <w:p w14:paraId="4977A22F" w14:textId="77777777" w:rsidR="00855112" w:rsidRPr="00E230F1" w:rsidRDefault="00855112" w:rsidP="00F258E8">
            <w:pPr>
              <w:rPr>
                <w:rFonts w:eastAsia="Times New Roman"/>
              </w:rPr>
            </w:pPr>
            <w:r w:rsidRPr="00E230F1">
              <w:rPr>
                <w:rFonts w:eastAsia="Times New Roman"/>
                <w:bCs/>
              </w:rPr>
              <w:t>ESG integration and broad risk management</w:t>
            </w:r>
          </w:p>
        </w:tc>
        <w:tc>
          <w:tcPr>
            <w:tcW w:w="8594" w:type="dxa"/>
          </w:tcPr>
          <w:p w14:paraId="0D95BB52" w14:textId="77777777" w:rsidR="00855112" w:rsidRPr="00AB7475" w:rsidRDefault="00855112" w:rsidP="00F258E8">
            <w:pPr>
              <w:spacing w:after="240"/>
              <w:rPr>
                <w:rFonts w:eastAsia="Times New Roman" w:cstheme="minorHAnsi"/>
              </w:rPr>
            </w:pPr>
            <w:r w:rsidRPr="00AB7475">
              <w:rPr>
                <w:rFonts w:cstheme="minorHAnsi"/>
              </w:rPr>
              <w:t xml:space="preserve">Effective management of ESG issues is a key determinant of long-term shareholder value and good risk management. Their consideration is part of the Fund’s fiduciary duty to beneficiaries. The Fund therefore recognises the importance of its investment managers integrating all material financial </w:t>
            </w:r>
            <w:r>
              <w:rPr>
                <w:rFonts w:cstheme="minorHAnsi"/>
              </w:rPr>
              <w:t xml:space="preserve">and non-financial </w:t>
            </w:r>
            <w:r w:rsidRPr="00AB7475">
              <w:rPr>
                <w:rFonts w:cstheme="minorHAnsi"/>
              </w:rPr>
              <w:t>factors, including ESG considerations, into the decision-making process for fund investments and the ongoing monitoring of these same issues.</w:t>
            </w:r>
          </w:p>
        </w:tc>
      </w:tr>
      <w:tr w:rsidR="00855112" w14:paraId="7B7CF006" w14:textId="77777777" w:rsidTr="002D4983">
        <w:tc>
          <w:tcPr>
            <w:tcW w:w="1607" w:type="dxa"/>
          </w:tcPr>
          <w:p w14:paraId="63BC59D9" w14:textId="77777777" w:rsidR="00855112" w:rsidRPr="00E230F1" w:rsidRDefault="00855112" w:rsidP="00F258E8">
            <w:pPr>
              <w:rPr>
                <w:rFonts w:eastAsia="Times New Roman"/>
              </w:rPr>
            </w:pPr>
            <w:r w:rsidRPr="00E230F1">
              <w:rPr>
                <w:rFonts w:eastAsia="Times New Roman"/>
                <w:bCs/>
              </w:rPr>
              <w:t>Stewardship</w:t>
            </w:r>
          </w:p>
        </w:tc>
        <w:tc>
          <w:tcPr>
            <w:tcW w:w="8594" w:type="dxa"/>
          </w:tcPr>
          <w:p w14:paraId="4BCFBC70" w14:textId="1A889238" w:rsidR="00855112" w:rsidRPr="00AB7475" w:rsidRDefault="00855112" w:rsidP="00F258E8">
            <w:pPr>
              <w:rPr>
                <w:rFonts w:eastAsia="Times New Roman" w:cstheme="minorHAnsi"/>
              </w:rPr>
            </w:pPr>
            <w:r w:rsidRPr="00AB7475">
              <w:rPr>
                <w:rFonts w:cstheme="minorHAnsi"/>
              </w:rPr>
              <w:t xml:space="preserve">Good stewardship can protect and enhance value for companies and </w:t>
            </w:r>
            <w:proofErr w:type="gramStart"/>
            <w:r w:rsidRPr="00AB7475">
              <w:rPr>
                <w:rFonts w:cstheme="minorHAnsi"/>
              </w:rPr>
              <w:t>markets as a whole</w:t>
            </w:r>
            <w:proofErr w:type="gramEnd"/>
            <w:r w:rsidRPr="00AB7475">
              <w:rPr>
                <w:rFonts w:cstheme="minorHAnsi"/>
              </w:rPr>
              <w:t xml:space="preserve">. The Fund is committed to being a long-term steward of the assets in which it invests. It believes in the importance of </w:t>
            </w:r>
            <w:r w:rsidR="00DB15E6">
              <w:rPr>
                <w:rFonts w:cstheme="minorHAnsi"/>
              </w:rPr>
              <w:t xml:space="preserve">investment </w:t>
            </w:r>
            <w:r w:rsidRPr="00AB7475">
              <w:rPr>
                <w:rFonts w:cstheme="minorHAnsi"/>
              </w:rPr>
              <w:t>managers acting as active asset owners through proactive voting and engagement with companies. In addition, the Fund believes that acting collectively with other investors is an effective way to engage with companies.</w:t>
            </w:r>
          </w:p>
        </w:tc>
      </w:tr>
      <w:tr w:rsidR="00855112" w14:paraId="2648B1B1" w14:textId="77777777" w:rsidTr="002D4983">
        <w:tc>
          <w:tcPr>
            <w:tcW w:w="1607" w:type="dxa"/>
          </w:tcPr>
          <w:p w14:paraId="03110022" w14:textId="77777777" w:rsidR="00855112" w:rsidRPr="00E230F1" w:rsidRDefault="00855112" w:rsidP="00F258E8">
            <w:pPr>
              <w:rPr>
                <w:rFonts w:eastAsia="Times New Roman"/>
              </w:rPr>
            </w:pPr>
            <w:r w:rsidRPr="00E230F1">
              <w:rPr>
                <w:rFonts w:eastAsia="Times New Roman"/>
                <w:bCs/>
              </w:rPr>
              <w:lastRenderedPageBreak/>
              <w:t>Climate change risk</w:t>
            </w:r>
          </w:p>
          <w:p w14:paraId="3E3EC5D5" w14:textId="77777777" w:rsidR="00855112" w:rsidRPr="00E230F1" w:rsidRDefault="00855112" w:rsidP="00F258E8">
            <w:pPr>
              <w:rPr>
                <w:rFonts w:eastAsia="Times New Roman"/>
              </w:rPr>
            </w:pPr>
          </w:p>
        </w:tc>
        <w:tc>
          <w:tcPr>
            <w:tcW w:w="8594" w:type="dxa"/>
          </w:tcPr>
          <w:p w14:paraId="0938600A" w14:textId="77777777" w:rsidR="00855112" w:rsidRPr="00AB7475" w:rsidRDefault="00855112" w:rsidP="00F258E8">
            <w:pPr>
              <w:rPr>
                <w:rFonts w:eastAsia="Times New Roman" w:cstheme="minorHAnsi"/>
              </w:rPr>
            </w:pPr>
            <w:r w:rsidRPr="00AB7475">
              <w:rPr>
                <w:rFonts w:eastAsia="Times New Roman" w:cstheme="minorHAnsi"/>
              </w:rPr>
              <w:t xml:space="preserve">The </w:t>
            </w:r>
            <w:r>
              <w:rPr>
                <w:rFonts w:eastAsia="Times New Roman" w:cstheme="minorHAnsi"/>
              </w:rPr>
              <w:t>Fund</w:t>
            </w:r>
            <w:r w:rsidRPr="00AB7475">
              <w:rPr>
                <w:rFonts w:eastAsia="Times New Roman" w:cstheme="minorHAnsi"/>
              </w:rPr>
              <w:t xml:space="preserve"> believes that climate change presents risks over the short, </w:t>
            </w:r>
            <w:proofErr w:type="gramStart"/>
            <w:r w:rsidRPr="00AB7475">
              <w:rPr>
                <w:rFonts w:eastAsia="Times New Roman" w:cstheme="minorHAnsi"/>
              </w:rPr>
              <w:t>medium</w:t>
            </w:r>
            <w:proofErr w:type="gramEnd"/>
            <w:r w:rsidRPr="00AB7475">
              <w:rPr>
                <w:rFonts w:eastAsia="Times New Roman" w:cstheme="minorHAnsi"/>
              </w:rPr>
              <w:t xml:space="preserve"> and long-term that the Fund should better understand and mitigate where possible. </w:t>
            </w:r>
            <w:r w:rsidRPr="00176EA5">
              <w:rPr>
                <w:rFonts w:eastAsia="Times New Roman" w:cstheme="minorHAnsi"/>
              </w:rPr>
              <w:t>Investment action is an important area for the Fund to further develop its approach, including collaborative engagement opportunities.</w:t>
            </w:r>
          </w:p>
          <w:p w14:paraId="52C91A13" w14:textId="77777777" w:rsidR="00855112" w:rsidRPr="00E230F1" w:rsidRDefault="00855112" w:rsidP="00F258E8">
            <w:pPr>
              <w:rPr>
                <w:rFonts w:eastAsia="Times New Roman" w:cstheme="minorHAnsi"/>
              </w:rPr>
            </w:pPr>
            <w:r w:rsidRPr="00E230F1">
              <w:rPr>
                <w:rFonts w:eastAsia="Times New Roman"/>
                <w:color w:val="000000" w:themeColor="text1"/>
              </w:rPr>
              <w:t xml:space="preserve">The Fund </w:t>
            </w:r>
            <w:r w:rsidRPr="00E230F1">
              <w:rPr>
                <w:rFonts w:eastAsia="Times New Roman"/>
              </w:rPr>
              <w:t xml:space="preserve">supports the objectives of the Paris </w:t>
            </w:r>
            <w:proofErr w:type="gramStart"/>
            <w:r w:rsidRPr="00E230F1">
              <w:rPr>
                <w:rFonts w:eastAsia="Times New Roman"/>
              </w:rPr>
              <w:t>Agreement, and</w:t>
            </w:r>
            <w:proofErr w:type="gramEnd"/>
            <w:r w:rsidRPr="00E230F1">
              <w:rPr>
                <w:rFonts w:eastAsia="Times New Roman"/>
              </w:rPr>
              <w:t xml:space="preserve"> believes that keeping</w:t>
            </w:r>
            <w:r w:rsidRPr="00E230F1">
              <w:rPr>
                <w:rFonts w:eastAsia="Times New Roman" w:cstheme="minorHAnsi"/>
              </w:rPr>
              <w:t xml:space="preserve"> a global temperature rise this century to well below 2⁰C relative to pre-industrial levels is entirely consistent with securing strong financial returns</w:t>
            </w:r>
            <w:r w:rsidRPr="00E230F1">
              <w:rPr>
                <w:rFonts w:eastAsia="Times New Roman"/>
                <w:color w:val="000000" w:themeColor="text1"/>
              </w:rPr>
              <w:t>.</w:t>
            </w:r>
          </w:p>
          <w:p w14:paraId="07FA3ED2" w14:textId="77777777" w:rsidR="00855112" w:rsidRPr="00AB7475" w:rsidRDefault="00855112" w:rsidP="00F258E8">
            <w:pPr>
              <w:rPr>
                <w:rFonts w:eastAsia="Times New Roman" w:cstheme="minorHAnsi"/>
              </w:rPr>
            </w:pPr>
            <w:r w:rsidRPr="00E230F1">
              <w:rPr>
                <w:rFonts w:eastAsia="Times New Roman" w:cstheme="minorHAnsi"/>
              </w:rPr>
              <w:t xml:space="preserve">The Fund also believes in a “just transition” to a low carbon economy that ensures fair treatment for employees and communities that would otherwise bear the brunt of industrial change. </w:t>
            </w:r>
          </w:p>
        </w:tc>
      </w:tr>
      <w:tr w:rsidR="00855112" w14:paraId="11B9843B" w14:textId="77777777" w:rsidTr="002D4983">
        <w:tc>
          <w:tcPr>
            <w:tcW w:w="1607" w:type="dxa"/>
          </w:tcPr>
          <w:p w14:paraId="4DD59E01" w14:textId="77777777" w:rsidR="00855112" w:rsidRPr="00E230F1" w:rsidRDefault="00855112" w:rsidP="00F258E8">
            <w:pPr>
              <w:rPr>
                <w:rFonts w:eastAsia="Times New Roman"/>
              </w:rPr>
            </w:pPr>
            <w:r w:rsidRPr="00E230F1">
              <w:rPr>
                <w:rFonts w:eastAsia="Times New Roman"/>
                <w:bCs/>
              </w:rPr>
              <w:t>Thematic sustainable investments opportunities.</w:t>
            </w:r>
          </w:p>
        </w:tc>
        <w:tc>
          <w:tcPr>
            <w:tcW w:w="8594" w:type="dxa"/>
          </w:tcPr>
          <w:p w14:paraId="171B69E0" w14:textId="77777777" w:rsidR="00855112" w:rsidRPr="00AB7475" w:rsidRDefault="00855112" w:rsidP="00F258E8">
            <w:pPr>
              <w:rPr>
                <w:rFonts w:cstheme="minorHAnsi"/>
              </w:rPr>
            </w:pPr>
            <w:r w:rsidRPr="00AB7475">
              <w:rPr>
                <w:rFonts w:cstheme="minorHAnsi"/>
              </w:rPr>
              <w:t xml:space="preserve">Long-term sustainability trends, including climate change, present opportunities that increasingly require explicit consideration. The Fund should actively consider Investing in strategies that target long-term ESG themes (e.g. energy, water, demographic trends) </w:t>
            </w:r>
            <w:r w:rsidRPr="00E230F1">
              <w:rPr>
                <w:rFonts w:eastAsia="Times New Roman" w:cstheme="minorHAnsi"/>
              </w:rPr>
              <w:t xml:space="preserve">including those themes set out in the United Nations Sustainable Development Goals (SDGs) </w:t>
            </w:r>
            <w:r w:rsidRPr="00AB7475">
              <w:rPr>
                <w:rFonts w:cstheme="minorHAnsi"/>
              </w:rPr>
              <w:t xml:space="preserve">on the basis that such opportunities will generate good risk-adjusted investment returns. </w:t>
            </w:r>
          </w:p>
        </w:tc>
      </w:tr>
      <w:tr w:rsidR="00855112" w14:paraId="4887188C" w14:textId="77777777" w:rsidTr="002D4983">
        <w:tc>
          <w:tcPr>
            <w:tcW w:w="1607" w:type="dxa"/>
          </w:tcPr>
          <w:p w14:paraId="15127459" w14:textId="77777777" w:rsidR="00855112" w:rsidRPr="00E230F1" w:rsidRDefault="00855112" w:rsidP="00F258E8">
            <w:pPr>
              <w:rPr>
                <w:rFonts w:eastAsia="Times New Roman"/>
              </w:rPr>
            </w:pPr>
            <w:r w:rsidRPr="00E230F1">
              <w:rPr>
                <w:rFonts w:eastAsia="Times New Roman"/>
                <w:bCs/>
              </w:rPr>
              <w:t>Pooling</w:t>
            </w:r>
          </w:p>
          <w:p w14:paraId="0006348E" w14:textId="77777777" w:rsidR="00855112" w:rsidRPr="00E230F1" w:rsidRDefault="00855112" w:rsidP="00F258E8">
            <w:pPr>
              <w:rPr>
                <w:rFonts w:eastAsia="Times New Roman"/>
              </w:rPr>
            </w:pPr>
          </w:p>
        </w:tc>
        <w:tc>
          <w:tcPr>
            <w:tcW w:w="8594" w:type="dxa"/>
          </w:tcPr>
          <w:p w14:paraId="091AE43C" w14:textId="77777777" w:rsidR="00855112" w:rsidRPr="0013556E" w:rsidRDefault="00855112" w:rsidP="00F258E8">
            <w:pPr>
              <w:rPr>
                <w:rFonts w:ascii="Calibri" w:eastAsia="Times New Roman" w:hAnsi="Calibri" w:cs="Calibri"/>
              </w:rPr>
            </w:pPr>
            <w:r w:rsidRPr="00AB7475">
              <w:t>The Fund is a participating Fund in the ACCESS Pool. The Fund believes that it should work collaboratively with ACCESS to set clear expectations of its investment managers and advisers on how ESG considerations are incorporated into investment activities. ACCESS should offer funds to investors that integrate ESG considerations into their investment process and develop a consistent policy approach to stewardship and climate change.</w:t>
            </w:r>
          </w:p>
          <w:p w14:paraId="67B2918F" w14:textId="77777777" w:rsidR="00855112" w:rsidRPr="00581599" w:rsidRDefault="00855112" w:rsidP="00F258E8">
            <w:pPr>
              <w:rPr>
                <w:rFonts w:ascii="Calibri" w:eastAsia="Times New Roman" w:hAnsi="Calibri" w:cs="Calibri"/>
                <w:b/>
                <w:bCs/>
              </w:rPr>
            </w:pPr>
            <w:r w:rsidRPr="002D4983">
              <w:t>The Committee will ensure that appropriate reporting is available for Pool aligned assets in order that progress can be monitored against the RI Policy.</w:t>
            </w:r>
          </w:p>
        </w:tc>
      </w:tr>
      <w:tr w:rsidR="00855112" w14:paraId="14FEBDD9" w14:textId="77777777" w:rsidTr="002D4983">
        <w:tc>
          <w:tcPr>
            <w:tcW w:w="1607" w:type="dxa"/>
          </w:tcPr>
          <w:p w14:paraId="01C59552" w14:textId="77777777" w:rsidR="00855112" w:rsidRPr="00E230F1" w:rsidRDefault="00855112" w:rsidP="00F258E8">
            <w:pPr>
              <w:rPr>
                <w:rFonts w:eastAsia="Times New Roman"/>
                <w:bCs/>
              </w:rPr>
            </w:pPr>
            <w:r w:rsidRPr="00E230F1">
              <w:rPr>
                <w:rFonts w:eastAsia="Times New Roman"/>
                <w:bCs/>
              </w:rPr>
              <w:t>Ongoing commitment</w:t>
            </w:r>
          </w:p>
        </w:tc>
        <w:tc>
          <w:tcPr>
            <w:tcW w:w="8594" w:type="dxa"/>
          </w:tcPr>
          <w:p w14:paraId="13FE11D4" w14:textId="77777777" w:rsidR="00855112" w:rsidRPr="007E6177" w:rsidRDefault="00855112" w:rsidP="00F258E8">
            <w:pPr>
              <w:rPr>
                <w:sz w:val="24"/>
                <w:szCs w:val="24"/>
              </w:rPr>
            </w:pPr>
            <w:r w:rsidRPr="00AB7475">
              <w:rPr>
                <w:szCs w:val="24"/>
                <w:lang w:val="en-US"/>
              </w:rPr>
              <w:t xml:space="preserve">Responsible investment is a rapidly developing </w:t>
            </w:r>
            <w:proofErr w:type="gramStart"/>
            <w:r w:rsidRPr="00AB7475">
              <w:rPr>
                <w:szCs w:val="24"/>
                <w:lang w:val="en-US"/>
              </w:rPr>
              <w:t>area</w:t>
            </w:r>
            <w:proofErr w:type="gramEnd"/>
            <w:r w:rsidRPr="00AB7475">
              <w:rPr>
                <w:szCs w:val="24"/>
                <w:lang w:val="en-US"/>
              </w:rPr>
              <w:t xml:space="preserve"> and </w:t>
            </w:r>
            <w:r w:rsidRPr="00AB7475">
              <w:rPr>
                <w:szCs w:val="24"/>
              </w:rPr>
              <w:t>the Fund should commit to staying informed, developing its approach and increasing its ambition with regard to these issues</w:t>
            </w:r>
            <w:r w:rsidRPr="00912569">
              <w:rPr>
                <w:sz w:val="24"/>
                <w:szCs w:val="24"/>
              </w:rPr>
              <w:t>.</w:t>
            </w:r>
          </w:p>
        </w:tc>
      </w:tr>
    </w:tbl>
    <w:p w14:paraId="0BC5F16C" w14:textId="77777777" w:rsidR="00855112" w:rsidRDefault="00855112" w:rsidP="00855112">
      <w:pPr>
        <w:rPr>
          <w:rFonts w:ascii="Calibri" w:eastAsia="Times New Roman" w:hAnsi="Calibri" w:cs="Calibri"/>
        </w:rPr>
      </w:pPr>
    </w:p>
    <w:p w14:paraId="43CB6991"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8" w:name="_Toc77166441"/>
      <w:r w:rsidRPr="00E230F1">
        <w:rPr>
          <w:rFonts w:ascii="Arial" w:eastAsia="Times New Roman" w:hAnsi="Arial" w:cs="Arial"/>
          <w:color w:val="auto"/>
        </w:rPr>
        <w:t>RESPONSIBLE INVESTMENT POLICY</w:t>
      </w:r>
      <w:bookmarkEnd w:id="18"/>
      <w:r w:rsidRPr="00E230F1">
        <w:rPr>
          <w:rFonts w:ascii="Arial" w:eastAsia="Times New Roman" w:hAnsi="Arial" w:cs="Arial"/>
          <w:color w:val="auto"/>
        </w:rPr>
        <w:t xml:space="preserve"> </w:t>
      </w:r>
    </w:p>
    <w:p w14:paraId="6D9DB564" w14:textId="196CF8F2" w:rsidR="00855112" w:rsidRPr="00E230F1" w:rsidRDefault="00855112" w:rsidP="00E230F1">
      <w:pPr>
        <w:spacing w:after="240" w:line="259" w:lineRule="auto"/>
        <w:ind w:left="11" w:hanging="11"/>
        <w:rPr>
          <w:rFonts w:eastAsia="Times New Roman"/>
        </w:rPr>
      </w:pPr>
      <w:r w:rsidRPr="00E230F1">
        <w:rPr>
          <w:rFonts w:eastAsia="Times New Roman"/>
        </w:rPr>
        <w:t xml:space="preserve">This section sets out the RI </w:t>
      </w:r>
      <w:r w:rsidR="0006746A">
        <w:rPr>
          <w:rFonts w:eastAsia="Times New Roman"/>
        </w:rPr>
        <w:t>P</w:t>
      </w:r>
      <w:r w:rsidRPr="00E230F1">
        <w:rPr>
          <w:rFonts w:eastAsia="Times New Roman"/>
        </w:rPr>
        <w:t xml:space="preserve">olicy based upon the Responsible Investment Beliefs set out in section B, above. The Fund has responsibility for setting its investment strategy and its ambitions on RI. </w:t>
      </w:r>
    </w:p>
    <w:p w14:paraId="5644B5BD" w14:textId="77777777" w:rsidR="00855112" w:rsidRPr="00AB7475" w:rsidRDefault="00855112" w:rsidP="00855112">
      <w:pPr>
        <w:numPr>
          <w:ilvl w:val="1"/>
          <w:numId w:val="9"/>
        </w:numPr>
        <w:spacing w:after="200" w:line="276" w:lineRule="auto"/>
        <w:ind w:left="426" w:hanging="426"/>
      </w:pPr>
      <w:r w:rsidRPr="00AB7475">
        <w:rPr>
          <w:bCs/>
        </w:rPr>
        <w:t>ESG integration and broad risk management</w:t>
      </w:r>
    </w:p>
    <w:p w14:paraId="24FCE99B" w14:textId="77777777" w:rsidR="00855112" w:rsidRPr="00AB7475" w:rsidRDefault="00855112" w:rsidP="00855112">
      <w:pPr>
        <w:spacing w:after="240"/>
        <w:ind w:left="66"/>
      </w:pPr>
      <w:r>
        <w:t xml:space="preserve">The Fund’s </w:t>
      </w:r>
      <w:r w:rsidRPr="00AB7475">
        <w:t xml:space="preserve">investment managers </w:t>
      </w:r>
      <w:r>
        <w:t xml:space="preserve">should </w:t>
      </w:r>
      <w:r w:rsidRPr="00AB7475">
        <w:t>integrat</w:t>
      </w:r>
      <w:r>
        <w:t>e</w:t>
      </w:r>
      <w:r w:rsidRPr="00AB7475">
        <w:t xml:space="preserve"> all material financial factors, including ESG considerations, into the decision-making process for </w:t>
      </w:r>
      <w:r>
        <w:t>F</w:t>
      </w:r>
      <w:r w:rsidRPr="00AB7475">
        <w:t>und investments and the ongoing monitoring of these same issues.</w:t>
      </w:r>
    </w:p>
    <w:p w14:paraId="159A9FE6" w14:textId="77777777" w:rsidR="00855112" w:rsidRPr="00E230F1" w:rsidRDefault="00855112" w:rsidP="00E230F1">
      <w:pPr>
        <w:spacing w:after="240" w:line="259" w:lineRule="auto"/>
        <w:ind w:left="11" w:hanging="11"/>
        <w:rPr>
          <w:rFonts w:eastAsia="Times New Roman"/>
        </w:rPr>
      </w:pPr>
      <w:r w:rsidRPr="00E230F1">
        <w:rPr>
          <w:rFonts w:eastAsia="Times New Roman"/>
        </w:rPr>
        <w:t xml:space="preserve">The Fund recognises the importance of ensuring that Pool level engagement between ACCESS and investment managers in providing appropriate assurance </w:t>
      </w:r>
      <w:proofErr w:type="gramStart"/>
      <w:r w:rsidRPr="00E230F1">
        <w:rPr>
          <w:rFonts w:eastAsia="Times New Roman"/>
        </w:rPr>
        <w:t>with regard to</w:t>
      </w:r>
      <w:proofErr w:type="gramEnd"/>
      <w:r w:rsidRPr="00E230F1">
        <w:rPr>
          <w:rFonts w:eastAsia="Times New Roman"/>
        </w:rPr>
        <w:t xml:space="preserve"> the investing Funds’ policy commitments in this area.</w:t>
      </w:r>
    </w:p>
    <w:p w14:paraId="67F5040F" w14:textId="77777777" w:rsidR="00855112" w:rsidRPr="004F0CE5" w:rsidRDefault="00855112" w:rsidP="00855112">
      <w:pPr>
        <w:numPr>
          <w:ilvl w:val="1"/>
          <w:numId w:val="9"/>
        </w:numPr>
        <w:spacing w:after="200" w:line="276" w:lineRule="auto"/>
        <w:ind w:left="426" w:hanging="426"/>
        <w:rPr>
          <w:bCs/>
        </w:rPr>
      </w:pPr>
      <w:r w:rsidRPr="004F0CE5">
        <w:rPr>
          <w:bCs/>
        </w:rPr>
        <w:lastRenderedPageBreak/>
        <w:t>Stewardship – exercise of voting rights and engagement</w:t>
      </w:r>
    </w:p>
    <w:p w14:paraId="3DA9948F" w14:textId="77777777" w:rsidR="00855112" w:rsidRDefault="00855112" w:rsidP="00855112">
      <w:pPr>
        <w:autoSpaceDE w:val="0"/>
        <w:autoSpaceDN w:val="0"/>
        <w:adjustRightInd w:val="0"/>
        <w:spacing w:after="240" w:line="240" w:lineRule="auto"/>
        <w:rPr>
          <w:rFonts w:eastAsia="Times New Roman"/>
        </w:rPr>
      </w:pPr>
      <w:r>
        <w:t xml:space="preserve">The Fund’s </w:t>
      </w:r>
      <w:r w:rsidRPr="004F0CE5">
        <w:t xml:space="preserve">investment managers </w:t>
      </w:r>
      <w:r>
        <w:t xml:space="preserve">should </w:t>
      </w:r>
      <w:r>
        <w:rPr>
          <w:rFonts w:eastAsia="Times New Roman"/>
        </w:rPr>
        <w:t>exercise their rights as owners of investments to actively participate in company level decisions tabled as shareholder votes at General Meetings.</w:t>
      </w:r>
    </w:p>
    <w:p w14:paraId="3FFA1FC4" w14:textId="77777777" w:rsidR="0076527E" w:rsidRDefault="00855112" w:rsidP="00E230F1">
      <w:pPr>
        <w:spacing w:after="240" w:line="259" w:lineRule="auto"/>
        <w:ind w:left="11" w:hanging="11"/>
        <w:rPr>
          <w:rFonts w:eastAsia="Times New Roman"/>
        </w:rPr>
      </w:pPr>
      <w:r>
        <w:rPr>
          <w:rFonts w:eastAsia="Times New Roman"/>
        </w:rPr>
        <w:t>Pool aligned assets should be voted in accordance with the ACCESS Voting Policy on a “comply or explain” basis with voting outcomes regularly monitored.</w:t>
      </w:r>
      <w:r w:rsidR="00D80523" w:rsidRPr="00D80523">
        <w:rPr>
          <w:rFonts w:eastAsia="Times New Roman"/>
        </w:rPr>
        <w:t xml:space="preserve"> </w:t>
      </w:r>
    </w:p>
    <w:p w14:paraId="2DB4F503" w14:textId="34A8F6C3" w:rsidR="00855112" w:rsidRDefault="0076527E" w:rsidP="00E230F1">
      <w:pPr>
        <w:spacing w:after="240" w:line="259" w:lineRule="auto"/>
        <w:ind w:left="11" w:hanging="11"/>
        <w:rPr>
          <w:rFonts w:eastAsia="Times New Roman"/>
        </w:rPr>
      </w:pPr>
      <w:r>
        <w:rPr>
          <w:rFonts w:cstheme="minorHAnsi"/>
        </w:rPr>
        <w:t xml:space="preserve">In addition to proactive voting, the Fund’s investment </w:t>
      </w:r>
      <w:r w:rsidRPr="00AB7475">
        <w:rPr>
          <w:rFonts w:cstheme="minorHAnsi"/>
        </w:rPr>
        <w:t xml:space="preserve">managers </w:t>
      </w:r>
      <w:r>
        <w:rPr>
          <w:rFonts w:cstheme="minorHAnsi"/>
        </w:rPr>
        <w:t xml:space="preserve">should </w:t>
      </w:r>
      <w:r w:rsidRPr="00AB7475">
        <w:rPr>
          <w:rFonts w:cstheme="minorHAnsi"/>
        </w:rPr>
        <w:t>act as active asset owners through engagement with companies</w:t>
      </w:r>
      <w:r w:rsidR="00176EA5">
        <w:rPr>
          <w:rFonts w:cstheme="minorHAnsi"/>
        </w:rPr>
        <w:t xml:space="preserve"> where there are concerns over ESG issues</w:t>
      </w:r>
      <w:r w:rsidRPr="00AB7475">
        <w:rPr>
          <w:rFonts w:cstheme="minorHAnsi"/>
        </w:rPr>
        <w:t xml:space="preserve">. </w:t>
      </w:r>
      <w:r>
        <w:rPr>
          <w:rFonts w:cstheme="minorHAnsi"/>
        </w:rPr>
        <w:t>T</w:t>
      </w:r>
      <w:r w:rsidRPr="00AB7475">
        <w:rPr>
          <w:rFonts w:cstheme="minorHAnsi"/>
        </w:rPr>
        <w:t xml:space="preserve">he Fund </w:t>
      </w:r>
      <w:r>
        <w:rPr>
          <w:rFonts w:cstheme="minorHAnsi"/>
        </w:rPr>
        <w:t xml:space="preserve">also </w:t>
      </w:r>
      <w:r w:rsidRPr="00AB7475">
        <w:rPr>
          <w:rFonts w:cstheme="minorHAnsi"/>
        </w:rPr>
        <w:t>believes that acting collectively with other investors</w:t>
      </w:r>
      <w:r>
        <w:rPr>
          <w:rFonts w:cstheme="minorHAnsi"/>
        </w:rPr>
        <w:t xml:space="preserve">, for example, </w:t>
      </w:r>
      <w:r w:rsidR="00736AEE">
        <w:rPr>
          <w:rFonts w:cstheme="minorHAnsi"/>
        </w:rPr>
        <w:t xml:space="preserve">with fellow investors in the ACCESS pool or </w:t>
      </w:r>
      <w:r>
        <w:rPr>
          <w:rFonts w:cstheme="minorHAnsi"/>
        </w:rPr>
        <w:t>through membership of the Local A</w:t>
      </w:r>
      <w:r w:rsidR="00736AEE">
        <w:rPr>
          <w:rFonts w:cstheme="minorHAnsi"/>
        </w:rPr>
        <w:t>uthority Pension Fund Forum (LAP</w:t>
      </w:r>
      <w:r>
        <w:rPr>
          <w:rFonts w:cstheme="minorHAnsi"/>
        </w:rPr>
        <w:t>FF)</w:t>
      </w:r>
      <w:r w:rsidRPr="00AB7475">
        <w:rPr>
          <w:rFonts w:cstheme="minorHAnsi"/>
        </w:rPr>
        <w:t xml:space="preserve"> is an effective way to engage with companies.</w:t>
      </w:r>
      <w:r>
        <w:rPr>
          <w:rFonts w:cstheme="minorHAnsi"/>
        </w:rPr>
        <w:t xml:space="preserve"> </w:t>
      </w:r>
      <w:proofErr w:type="gramStart"/>
      <w:r w:rsidR="00D80523">
        <w:rPr>
          <w:rFonts w:eastAsia="Times New Roman"/>
        </w:rPr>
        <w:t>In the event that</w:t>
      </w:r>
      <w:proofErr w:type="gramEnd"/>
      <w:r w:rsidR="00D80523">
        <w:rPr>
          <w:rFonts w:eastAsia="Times New Roman"/>
        </w:rPr>
        <w:t xml:space="preserve"> engagement is not effective the Fund will consider divestment</w:t>
      </w:r>
      <w:r w:rsidR="00F75985">
        <w:rPr>
          <w:rFonts w:eastAsia="Times New Roman"/>
        </w:rPr>
        <w:t xml:space="preserve"> from an individual stock</w:t>
      </w:r>
      <w:r w:rsidR="00D80523">
        <w:rPr>
          <w:rFonts w:eastAsia="Times New Roman"/>
        </w:rPr>
        <w:t>, where agreed with the relevant investment manager that this is appropriate.</w:t>
      </w:r>
      <w:r w:rsidR="00F75985">
        <w:rPr>
          <w:rFonts w:eastAsia="Times New Roman"/>
        </w:rPr>
        <w:t xml:space="preserve"> If the Fund cannot reach agreement with the investment manager</w:t>
      </w:r>
      <w:r w:rsidR="00736AEE">
        <w:rPr>
          <w:rFonts w:eastAsia="Times New Roman"/>
        </w:rPr>
        <w:t xml:space="preserve"> on a stewardship issue, it may be appropriate to divest from the manager.</w:t>
      </w:r>
    </w:p>
    <w:p w14:paraId="12283D5F" w14:textId="77777777" w:rsidR="00855112" w:rsidRPr="00AB7475" w:rsidRDefault="00855112" w:rsidP="00855112">
      <w:pPr>
        <w:numPr>
          <w:ilvl w:val="1"/>
          <w:numId w:val="9"/>
        </w:numPr>
        <w:spacing w:after="200" w:line="276" w:lineRule="auto"/>
        <w:ind w:left="426" w:hanging="426"/>
        <w:rPr>
          <w:bCs/>
        </w:rPr>
      </w:pPr>
      <w:r w:rsidRPr="00AB7475">
        <w:rPr>
          <w:bCs/>
        </w:rPr>
        <w:t>Climate Change</w:t>
      </w:r>
    </w:p>
    <w:p w14:paraId="2CC731B7" w14:textId="5014F306" w:rsidR="00855112" w:rsidRDefault="00855112" w:rsidP="00855112">
      <w:pPr>
        <w:spacing w:after="240"/>
        <w:rPr>
          <w:rFonts w:eastAsia="Times New Roman"/>
        </w:rPr>
      </w:pPr>
      <w:r>
        <w:rPr>
          <w:rFonts w:eastAsia="Times New Roman"/>
        </w:rPr>
        <w:t>The Fund recognises the systemic risk associated with climate change and the views and aspirations of other scheme employers and scheme members.</w:t>
      </w:r>
    </w:p>
    <w:p w14:paraId="70CB08E7" w14:textId="77777777" w:rsidR="00855112" w:rsidRDefault="00855112" w:rsidP="00855112">
      <w:pPr>
        <w:spacing w:after="240"/>
      </w:pPr>
      <w:r>
        <w:rPr>
          <w:rFonts w:eastAsia="Times New Roman"/>
        </w:rPr>
        <w:t>C</w:t>
      </w:r>
      <w:r w:rsidRPr="00AE3092">
        <w:rPr>
          <w:rFonts w:eastAsia="Times New Roman"/>
        </w:rPr>
        <w:t xml:space="preserve">limate risk is recorded as a key risk in the Fund’s Risk Register - Risk No. 3: “As </w:t>
      </w:r>
      <w:proofErr w:type="gramStart"/>
      <w:r w:rsidRPr="00AE3092">
        <w:rPr>
          <w:rFonts w:eastAsia="Times New Roman"/>
        </w:rPr>
        <w:t>long term</w:t>
      </w:r>
      <w:proofErr w:type="gramEnd"/>
      <w:r w:rsidRPr="00AE3092">
        <w:rPr>
          <w:rFonts w:eastAsia="Times New Roman"/>
        </w:rPr>
        <w:t xml:space="preserve"> investors, the Fund believes climate risk has the potential to significantly alter the value of the Fund’s investments.”</w:t>
      </w:r>
    </w:p>
    <w:p w14:paraId="38217470" w14:textId="1DE39B3C" w:rsidR="00855112" w:rsidRDefault="005707BC" w:rsidP="00E230F1">
      <w:pPr>
        <w:spacing w:after="240" w:line="259" w:lineRule="auto"/>
        <w:ind w:left="11" w:hanging="11"/>
        <w:rPr>
          <w:rFonts w:eastAsia="Times New Roman"/>
        </w:rPr>
      </w:pPr>
      <w:r w:rsidRPr="005707BC">
        <w:rPr>
          <w:rFonts w:eastAsia="Times New Roman"/>
        </w:rPr>
        <w:t xml:space="preserve">The Fund supports </w:t>
      </w:r>
      <w:r w:rsidR="00855112" w:rsidRPr="005707BC">
        <w:rPr>
          <w:rFonts w:eastAsia="Times New Roman"/>
        </w:rPr>
        <w:t>the Paris Agreement and a “just transition”</w:t>
      </w:r>
      <w:r>
        <w:rPr>
          <w:rFonts w:eastAsia="Times New Roman"/>
        </w:rPr>
        <w:t>. The Fund is</w:t>
      </w:r>
      <w:r w:rsidRPr="005707BC">
        <w:rPr>
          <w:rFonts w:eastAsia="Times New Roman"/>
        </w:rPr>
        <w:t xml:space="preserve"> </w:t>
      </w:r>
      <w:r>
        <w:rPr>
          <w:rFonts w:eastAsia="Times New Roman"/>
        </w:rPr>
        <w:t xml:space="preserve">assessing the current climate-related exposures in its investment portfolio and </w:t>
      </w:r>
      <w:r w:rsidRPr="005707BC">
        <w:rPr>
          <w:rFonts w:eastAsia="Times New Roman"/>
        </w:rPr>
        <w:t xml:space="preserve">investigating </w:t>
      </w:r>
      <w:r>
        <w:rPr>
          <w:bCs/>
        </w:rPr>
        <w:t>the feasibility and potential timeframe for achieving a net carbon neutral investment portfolio.</w:t>
      </w:r>
      <w:r w:rsidR="00440AD7">
        <w:rPr>
          <w:rFonts w:eastAsia="Times New Roman"/>
        </w:rPr>
        <w:t xml:space="preserve"> </w:t>
      </w:r>
    </w:p>
    <w:p w14:paraId="767CC387" w14:textId="77777777" w:rsidR="00855112" w:rsidRPr="00AB7475" w:rsidRDefault="00855112" w:rsidP="00855112">
      <w:pPr>
        <w:numPr>
          <w:ilvl w:val="1"/>
          <w:numId w:val="9"/>
        </w:numPr>
        <w:spacing w:after="200" w:line="276" w:lineRule="auto"/>
        <w:ind w:left="426" w:hanging="426"/>
        <w:rPr>
          <w:bCs/>
        </w:rPr>
      </w:pPr>
      <w:r w:rsidRPr="00AB7475">
        <w:rPr>
          <w:bCs/>
        </w:rPr>
        <w:t>Thematic sustainable investments opportunities</w:t>
      </w:r>
    </w:p>
    <w:p w14:paraId="2B65FFE4" w14:textId="77777777" w:rsidR="00855112" w:rsidRDefault="00855112" w:rsidP="00855112">
      <w:pPr>
        <w:rPr>
          <w:rFonts w:eastAsia="Times New Roman"/>
        </w:rPr>
      </w:pPr>
      <w:r w:rsidRPr="00AB7475">
        <w:rPr>
          <w:rFonts w:eastAsia="Times New Roman"/>
        </w:rPr>
        <w:t xml:space="preserve">The </w:t>
      </w:r>
      <w:r>
        <w:rPr>
          <w:rFonts w:eastAsia="Times New Roman"/>
        </w:rPr>
        <w:t>Fund</w:t>
      </w:r>
      <w:r w:rsidRPr="00AB7475">
        <w:rPr>
          <w:rFonts w:eastAsia="Times New Roman"/>
        </w:rPr>
        <w:t xml:space="preserve"> will consider committing to specialist investment fund</w:t>
      </w:r>
      <w:r>
        <w:rPr>
          <w:rFonts w:eastAsia="Times New Roman"/>
        </w:rPr>
        <w:t>s</w:t>
      </w:r>
      <w:r w:rsidRPr="00AB7475">
        <w:rPr>
          <w:rFonts w:eastAsia="Times New Roman"/>
        </w:rPr>
        <w:t xml:space="preserve"> that target long-term ESG themes (e.g. energy, water, demographic trends) including those themes set out in the United Nations Sustainable Development Goals (SDGs)</w:t>
      </w:r>
      <w:r>
        <w:rPr>
          <w:rFonts w:eastAsia="Times New Roman"/>
        </w:rPr>
        <w:t xml:space="preserve"> </w:t>
      </w:r>
      <w:r w:rsidRPr="00AB7475">
        <w:rPr>
          <w:rFonts w:eastAsia="Times New Roman"/>
        </w:rPr>
        <w:t>on the basis that such opportunities will generate good risk-adjusted investment returns.</w:t>
      </w:r>
    </w:p>
    <w:p w14:paraId="03168C66" w14:textId="77777777" w:rsidR="00855112" w:rsidRDefault="00855112" w:rsidP="00E230F1">
      <w:pPr>
        <w:spacing w:after="240" w:line="259" w:lineRule="auto"/>
        <w:ind w:left="11" w:hanging="11"/>
        <w:rPr>
          <w:bCs/>
        </w:rPr>
      </w:pPr>
      <w:r w:rsidRPr="00833009">
        <w:rPr>
          <w:rFonts w:eastAsia="Times New Roman"/>
        </w:rPr>
        <w:t xml:space="preserve">The </w:t>
      </w:r>
      <w:r>
        <w:rPr>
          <w:rFonts w:eastAsia="Times New Roman"/>
        </w:rPr>
        <w:t>Fund</w:t>
      </w:r>
      <w:r w:rsidRPr="00833009">
        <w:rPr>
          <w:rFonts w:eastAsia="Times New Roman"/>
        </w:rPr>
        <w:t xml:space="preserve"> will consider committing </w:t>
      </w:r>
      <w:r>
        <w:rPr>
          <w:rFonts w:eastAsia="Times New Roman"/>
        </w:rPr>
        <w:t xml:space="preserve">to </w:t>
      </w:r>
      <w:r w:rsidRPr="00567740">
        <w:rPr>
          <w:bCs/>
        </w:rPr>
        <w:t>“social investments”</w:t>
      </w:r>
      <w:r>
        <w:rPr>
          <w:bCs/>
        </w:rPr>
        <w:t xml:space="preserve">, defined by </w:t>
      </w:r>
      <w:r w:rsidRPr="00567740">
        <w:rPr>
          <w:bCs/>
        </w:rPr>
        <w:t xml:space="preserve">Government guidance </w:t>
      </w:r>
      <w:r>
        <w:rPr>
          <w:bCs/>
        </w:rPr>
        <w:t xml:space="preserve">as investments </w:t>
      </w:r>
      <w:r w:rsidRPr="00567740">
        <w:rPr>
          <w:bCs/>
        </w:rPr>
        <w:t xml:space="preserve">that deliver a social impact as well as a financial return. The Government considers that social investments are appropriate for LGPS funds where </w:t>
      </w:r>
      <w:r>
        <w:rPr>
          <w:bCs/>
        </w:rPr>
        <w:t xml:space="preserve">a) </w:t>
      </w:r>
      <w:r w:rsidRPr="00567740">
        <w:rPr>
          <w:bCs/>
        </w:rPr>
        <w:t>the social impact is simply in addition to the financial return</w:t>
      </w:r>
      <w:r>
        <w:rPr>
          <w:bCs/>
        </w:rPr>
        <w:t xml:space="preserve"> or</w:t>
      </w:r>
      <w:r w:rsidRPr="00567740">
        <w:rPr>
          <w:bCs/>
        </w:rPr>
        <w:t xml:space="preserve"> </w:t>
      </w:r>
      <w:r>
        <w:rPr>
          <w:bCs/>
        </w:rPr>
        <w:t xml:space="preserve">b) </w:t>
      </w:r>
      <w:r w:rsidRPr="00567740">
        <w:rPr>
          <w:bCs/>
        </w:rPr>
        <w:t xml:space="preserve">where some part of the financial return is forgone in order to generate the social </w:t>
      </w:r>
      <w:proofErr w:type="gramStart"/>
      <w:r w:rsidRPr="00567740">
        <w:rPr>
          <w:bCs/>
        </w:rPr>
        <w:t>impact</w:t>
      </w:r>
      <w:proofErr w:type="gramEnd"/>
      <w:r w:rsidRPr="00567740">
        <w:rPr>
          <w:bCs/>
        </w:rPr>
        <w:t xml:space="preserve"> </w:t>
      </w:r>
      <w:r>
        <w:rPr>
          <w:bCs/>
        </w:rPr>
        <w:t>but</w:t>
      </w:r>
      <w:r w:rsidRPr="00567740">
        <w:rPr>
          <w:bCs/>
        </w:rPr>
        <w:t xml:space="preserve"> the administering authority has good reason to think scheme members share the concern for social impact, and there is no risk of significant financial detriment to the Fund. </w:t>
      </w:r>
    </w:p>
    <w:p w14:paraId="1314CBDF" w14:textId="77777777" w:rsidR="00855112" w:rsidRPr="00083C64" w:rsidRDefault="00855112" w:rsidP="0000701B">
      <w:pPr>
        <w:keepNext/>
        <w:keepLines/>
        <w:numPr>
          <w:ilvl w:val="1"/>
          <w:numId w:val="9"/>
        </w:numPr>
        <w:spacing w:after="200" w:line="276" w:lineRule="auto"/>
        <w:ind w:left="426" w:hanging="426"/>
        <w:rPr>
          <w:bCs/>
        </w:rPr>
      </w:pPr>
      <w:r>
        <w:rPr>
          <w:bCs/>
        </w:rPr>
        <w:lastRenderedPageBreak/>
        <w:t xml:space="preserve">Pooling </w:t>
      </w:r>
    </w:p>
    <w:p w14:paraId="1FDDE0F0" w14:textId="77777777" w:rsidR="00855112" w:rsidRPr="003B2AE2" w:rsidRDefault="00855112" w:rsidP="0000701B">
      <w:pPr>
        <w:keepNext/>
        <w:keepLines/>
        <w:rPr>
          <w:bCs/>
        </w:rPr>
      </w:pPr>
      <w:r w:rsidRPr="003B2AE2">
        <w:rPr>
          <w:bCs/>
        </w:rPr>
        <w:t xml:space="preserve">The Fund and ten like-minded LGPS funds have formed the </w:t>
      </w:r>
      <w:proofErr w:type="gramStart"/>
      <w:r w:rsidRPr="003B2AE2">
        <w:rPr>
          <w:bCs/>
        </w:rPr>
        <w:t xml:space="preserve">ACCESS </w:t>
      </w:r>
      <w:r>
        <w:rPr>
          <w:bCs/>
        </w:rPr>
        <w:t>P</w:t>
      </w:r>
      <w:r w:rsidRPr="003B2AE2">
        <w:rPr>
          <w:bCs/>
        </w:rPr>
        <w:t>ool</w:t>
      </w:r>
      <w:r>
        <w:rPr>
          <w:bCs/>
        </w:rPr>
        <w:t>, and</w:t>
      </w:r>
      <w:proofErr w:type="gramEnd"/>
      <w:r>
        <w:rPr>
          <w:bCs/>
        </w:rPr>
        <w:t xml:space="preserve"> are</w:t>
      </w:r>
      <w:r w:rsidRPr="003B2AE2">
        <w:rPr>
          <w:bCs/>
        </w:rPr>
        <w:t xml:space="preserve"> committed to collaboratively working together to meet the Government’s criteria for asset pooling</w:t>
      </w:r>
      <w:r>
        <w:rPr>
          <w:bCs/>
        </w:rPr>
        <w:t>. A</w:t>
      </w:r>
      <w:r w:rsidRPr="003B2AE2">
        <w:rPr>
          <w:bCs/>
        </w:rPr>
        <w:t xml:space="preserve">n Inter Authority Agreement </w:t>
      </w:r>
      <w:r>
        <w:rPr>
          <w:bCs/>
        </w:rPr>
        <w:t xml:space="preserve">has been signed </w:t>
      </w:r>
      <w:r w:rsidRPr="003B2AE2">
        <w:rPr>
          <w:bCs/>
        </w:rPr>
        <w:t xml:space="preserve">to underpin the partnership. </w:t>
      </w:r>
    </w:p>
    <w:p w14:paraId="1E0B2723" w14:textId="77777777" w:rsidR="00855112" w:rsidRDefault="00855112" w:rsidP="00855112">
      <w:pPr>
        <w:rPr>
          <w:bCs/>
        </w:rPr>
      </w:pPr>
      <w:r>
        <w:rPr>
          <w:bCs/>
        </w:rPr>
        <w:t>The Fund will utilise, where relevant and applicable, the</w:t>
      </w:r>
      <w:r w:rsidRPr="003701B7">
        <w:rPr>
          <w:bCs/>
        </w:rPr>
        <w:t xml:space="preserve"> </w:t>
      </w:r>
      <w:r w:rsidRPr="003B2AE2">
        <w:rPr>
          <w:bCs/>
        </w:rPr>
        <w:t xml:space="preserve">scale and </w:t>
      </w:r>
      <w:r>
        <w:rPr>
          <w:bCs/>
        </w:rPr>
        <w:t xml:space="preserve">inherent benefits of </w:t>
      </w:r>
      <w:r w:rsidRPr="003B2AE2">
        <w:rPr>
          <w:bCs/>
        </w:rPr>
        <w:t xml:space="preserve">improved governance and stewardship practices that </w:t>
      </w:r>
      <w:r>
        <w:rPr>
          <w:bCs/>
        </w:rPr>
        <w:t xml:space="preserve">arise </w:t>
      </w:r>
      <w:r w:rsidRPr="003B2AE2">
        <w:rPr>
          <w:bCs/>
        </w:rPr>
        <w:t>from collaboration</w:t>
      </w:r>
      <w:r>
        <w:rPr>
          <w:bCs/>
        </w:rPr>
        <w:t xml:space="preserve"> with partner ACCESS funds </w:t>
      </w:r>
      <w:r w:rsidRPr="003B2AE2">
        <w:rPr>
          <w:bCs/>
        </w:rPr>
        <w:t xml:space="preserve">to carry out this Responsible Investment Policy.  </w:t>
      </w:r>
    </w:p>
    <w:p w14:paraId="2CE93C4A" w14:textId="77777777" w:rsidR="00855112" w:rsidRPr="003B2AE2" w:rsidRDefault="00855112" w:rsidP="00E230F1">
      <w:pPr>
        <w:spacing w:after="240" w:line="259" w:lineRule="auto"/>
        <w:ind w:left="11" w:hanging="11"/>
        <w:rPr>
          <w:bCs/>
        </w:rPr>
      </w:pPr>
      <w:r>
        <w:rPr>
          <w:bCs/>
        </w:rPr>
        <w:t xml:space="preserve">More information on this initiative can be found on the </w:t>
      </w:r>
      <w:hyperlink r:id="rId27" w:history="1">
        <w:r>
          <w:rPr>
            <w:rStyle w:val="Hyperlink"/>
          </w:rPr>
          <w:t>ACCESS Pool website</w:t>
        </w:r>
      </w:hyperlink>
    </w:p>
    <w:p w14:paraId="0ABA9CCE"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szCs w:val="23"/>
        </w:rPr>
      </w:pPr>
      <w:bookmarkStart w:id="19" w:name="_Toc77166442"/>
      <w:r w:rsidRPr="00E230F1">
        <w:rPr>
          <w:rFonts w:ascii="Arial" w:eastAsia="Times New Roman" w:hAnsi="Arial" w:cs="Arial"/>
          <w:color w:val="auto"/>
        </w:rPr>
        <w:t>IMPLEMENTATION</w:t>
      </w:r>
      <w:bookmarkEnd w:id="19"/>
    </w:p>
    <w:p w14:paraId="341E4DF9" w14:textId="77777777" w:rsidR="00855112" w:rsidRPr="00AB7475" w:rsidRDefault="00855112" w:rsidP="00E230F1">
      <w:pPr>
        <w:numPr>
          <w:ilvl w:val="1"/>
          <w:numId w:val="13"/>
        </w:numPr>
        <w:spacing w:after="200" w:line="276" w:lineRule="auto"/>
        <w:ind w:left="426" w:hanging="426"/>
        <w:rPr>
          <w:bCs/>
        </w:rPr>
      </w:pPr>
      <w:r w:rsidRPr="00AB7475">
        <w:rPr>
          <w:bCs/>
        </w:rPr>
        <w:t>ESG integration</w:t>
      </w:r>
    </w:p>
    <w:p w14:paraId="09A219B5" w14:textId="18C6C7CA" w:rsidR="00855112" w:rsidRDefault="00855112" w:rsidP="00855112">
      <w:pPr>
        <w:rPr>
          <w:bCs/>
        </w:rPr>
      </w:pPr>
      <w:r w:rsidRPr="00AB7475">
        <w:rPr>
          <w:bCs/>
        </w:rPr>
        <w:t xml:space="preserve">The Fund reviews the investment process and ESG practices of all prospective managers at the investment/manager selection stage. The ACCESS </w:t>
      </w:r>
      <w:r w:rsidR="00BC0377">
        <w:rPr>
          <w:bCs/>
        </w:rPr>
        <w:t>ACS</w:t>
      </w:r>
      <w:r w:rsidR="00BC0377" w:rsidRPr="00AB7475">
        <w:rPr>
          <w:bCs/>
        </w:rPr>
        <w:t xml:space="preserve"> </w:t>
      </w:r>
      <w:r>
        <w:rPr>
          <w:bCs/>
        </w:rPr>
        <w:t>O</w:t>
      </w:r>
      <w:r w:rsidRPr="00AB7475">
        <w:rPr>
          <w:bCs/>
        </w:rPr>
        <w:t>perator, L</w:t>
      </w:r>
      <w:r>
        <w:rPr>
          <w:bCs/>
        </w:rPr>
        <w:t xml:space="preserve">ink </w:t>
      </w:r>
      <w:r w:rsidRPr="00AB7475">
        <w:rPr>
          <w:bCs/>
        </w:rPr>
        <w:t>F</w:t>
      </w:r>
      <w:r>
        <w:rPr>
          <w:bCs/>
        </w:rPr>
        <w:t xml:space="preserve">inancial </w:t>
      </w:r>
      <w:r w:rsidRPr="00AB7475">
        <w:rPr>
          <w:bCs/>
        </w:rPr>
        <w:t>S</w:t>
      </w:r>
      <w:r>
        <w:rPr>
          <w:bCs/>
        </w:rPr>
        <w:t>ervices (LFS)</w:t>
      </w:r>
      <w:r w:rsidRPr="00AB7475">
        <w:rPr>
          <w:bCs/>
        </w:rPr>
        <w:t xml:space="preserve">, performs a similar assessment of </w:t>
      </w:r>
      <w:r w:rsidRPr="008654A6">
        <w:rPr>
          <w:bCs/>
        </w:rPr>
        <w:t xml:space="preserve">ESG, stewardship and the consideration of sustainable opportunities </w:t>
      </w:r>
      <w:r w:rsidRPr="00AB7475">
        <w:rPr>
          <w:bCs/>
        </w:rPr>
        <w:t xml:space="preserve">before any investment manager is appointed to </w:t>
      </w:r>
      <w:r>
        <w:rPr>
          <w:bCs/>
        </w:rPr>
        <w:t>a</w:t>
      </w:r>
      <w:r w:rsidRPr="00AB7475">
        <w:rPr>
          <w:bCs/>
        </w:rPr>
        <w:t xml:space="preserve"> sub-fund</w:t>
      </w:r>
      <w:r>
        <w:rPr>
          <w:bCs/>
        </w:rPr>
        <w:t xml:space="preserve"> within the </w:t>
      </w:r>
      <w:r w:rsidR="00BC0377">
        <w:rPr>
          <w:bCs/>
        </w:rPr>
        <w:t>ACS</w:t>
      </w:r>
      <w:r w:rsidRPr="00AB7475">
        <w:rPr>
          <w:bCs/>
        </w:rPr>
        <w:t>.</w:t>
      </w:r>
    </w:p>
    <w:p w14:paraId="2AC0FCD6" w14:textId="77777777" w:rsidR="00855112" w:rsidRPr="00AB7475" w:rsidRDefault="00855112" w:rsidP="00E230F1">
      <w:pPr>
        <w:spacing w:after="240" w:line="259" w:lineRule="auto"/>
        <w:ind w:left="11" w:hanging="11"/>
        <w:rPr>
          <w:bCs/>
        </w:rPr>
      </w:pPr>
      <w:r>
        <w:t>A</w:t>
      </w:r>
      <w:r w:rsidRPr="00D663AC">
        <w:t xml:space="preserve">ssurance </w:t>
      </w:r>
      <w:r>
        <w:t xml:space="preserve">will be sought through engagement with investment managers </w:t>
      </w:r>
      <w:r w:rsidRPr="00D663AC">
        <w:t xml:space="preserve">and </w:t>
      </w:r>
      <w:r>
        <w:t xml:space="preserve">as part of </w:t>
      </w:r>
      <w:r w:rsidRPr="00D663AC">
        <w:t xml:space="preserve">ongoing reporting and presentations </w:t>
      </w:r>
      <w:r>
        <w:t xml:space="preserve">at a Fund and Pool level that the investment managers are appropriately </w:t>
      </w:r>
      <w:r w:rsidRPr="00360C74">
        <w:rPr>
          <w:bCs/>
        </w:rPr>
        <w:t xml:space="preserve">integrating ESG into their investment processes and decision making. If managers are </w:t>
      </w:r>
      <w:proofErr w:type="gramStart"/>
      <w:r w:rsidRPr="00360C74">
        <w:rPr>
          <w:bCs/>
        </w:rPr>
        <w:t>lagging behind</w:t>
      </w:r>
      <w:proofErr w:type="gramEnd"/>
      <w:r w:rsidRPr="00360C74">
        <w:rPr>
          <w:bCs/>
        </w:rPr>
        <w:t xml:space="preserve"> their peers and the essence of this Policy, they will be engaged and encouraged to improve.</w:t>
      </w:r>
    </w:p>
    <w:p w14:paraId="48B06D8A" w14:textId="77777777" w:rsidR="00855112" w:rsidRPr="00AB7475" w:rsidRDefault="00855112" w:rsidP="00E230F1">
      <w:pPr>
        <w:numPr>
          <w:ilvl w:val="1"/>
          <w:numId w:val="13"/>
        </w:numPr>
        <w:spacing w:after="200" w:line="276" w:lineRule="auto"/>
        <w:ind w:left="426" w:hanging="426"/>
        <w:rPr>
          <w:bCs/>
        </w:rPr>
      </w:pPr>
      <w:r w:rsidRPr="00AB7475">
        <w:rPr>
          <w:bCs/>
        </w:rPr>
        <w:t>Stewardship - voting and engagement</w:t>
      </w:r>
    </w:p>
    <w:p w14:paraId="33673222" w14:textId="0BC49BFF" w:rsidR="00855112" w:rsidRPr="00AB7475" w:rsidRDefault="00855112" w:rsidP="00855112">
      <w:pPr>
        <w:rPr>
          <w:bCs/>
        </w:rPr>
      </w:pPr>
      <w:r w:rsidRPr="00AB7475">
        <w:rPr>
          <w:bCs/>
        </w:rPr>
        <w:t xml:space="preserve">The </w:t>
      </w:r>
      <w:r>
        <w:rPr>
          <w:bCs/>
        </w:rPr>
        <w:t>Fund</w:t>
      </w:r>
      <w:r w:rsidRPr="00AB7475">
        <w:rPr>
          <w:bCs/>
        </w:rPr>
        <w:t xml:space="preserve"> has delegated the exercise of voting rights to all investment managers including the ACCESS </w:t>
      </w:r>
      <w:r w:rsidR="00BC0377">
        <w:rPr>
          <w:bCs/>
        </w:rPr>
        <w:t>ACS</w:t>
      </w:r>
      <w:r w:rsidR="00BC0377" w:rsidRPr="00AB7475">
        <w:rPr>
          <w:bCs/>
        </w:rPr>
        <w:t xml:space="preserve"> </w:t>
      </w:r>
      <w:r>
        <w:rPr>
          <w:bCs/>
        </w:rPr>
        <w:t>O</w:t>
      </w:r>
      <w:r w:rsidRPr="00AB7475">
        <w:rPr>
          <w:bCs/>
        </w:rPr>
        <w:t xml:space="preserve">perator, LFS, on the basis that voting power will be exercised by them with the objective of preserving and enhancing long-term shareholder value. </w:t>
      </w:r>
    </w:p>
    <w:p w14:paraId="18FB0484" w14:textId="10A14FAB" w:rsidR="00855112" w:rsidRPr="00AB7475" w:rsidRDefault="00855112" w:rsidP="00855112">
      <w:pPr>
        <w:rPr>
          <w:bCs/>
        </w:rPr>
      </w:pPr>
      <w:r w:rsidRPr="00AB7475">
        <w:rPr>
          <w:bCs/>
        </w:rPr>
        <w:t xml:space="preserve">LFS requires investment managers appointed to exercise the voting rights attached to investments held in </w:t>
      </w:r>
      <w:r>
        <w:rPr>
          <w:bCs/>
        </w:rPr>
        <w:t>sub-funds</w:t>
      </w:r>
      <w:r w:rsidRPr="00AB7475">
        <w:rPr>
          <w:bCs/>
        </w:rPr>
        <w:t xml:space="preserve"> in line with its voting policy, agreed by all ACCESS funds. Where investment managers on the platform do not adopt the positions set out in the LFS policy, they are required to provide a robust explanation of the position adopted on a comply or explain basis in each sub-fund prospectus. </w:t>
      </w:r>
    </w:p>
    <w:p w14:paraId="70E8FE56" w14:textId="177A1848" w:rsidR="00855112" w:rsidRPr="00AB7475" w:rsidRDefault="00855112" w:rsidP="00855112">
      <w:pPr>
        <w:rPr>
          <w:bCs/>
        </w:rPr>
      </w:pPr>
      <w:r w:rsidRPr="00AB7475">
        <w:rPr>
          <w:bCs/>
        </w:rPr>
        <w:t xml:space="preserve">The Fund’s other investment managers (i.e. those where the investment is not accessed via the ACCESS </w:t>
      </w:r>
      <w:r w:rsidR="00BC0377">
        <w:rPr>
          <w:bCs/>
        </w:rPr>
        <w:t>ACS</w:t>
      </w:r>
      <w:r w:rsidRPr="00AB7475">
        <w:rPr>
          <w:bCs/>
        </w:rPr>
        <w:t xml:space="preserve">) are not obliged to follow the LFS </w:t>
      </w:r>
      <w:proofErr w:type="gramStart"/>
      <w:r w:rsidRPr="00AB7475">
        <w:rPr>
          <w:bCs/>
        </w:rPr>
        <w:t>policy, but</w:t>
      </w:r>
      <w:proofErr w:type="gramEnd"/>
      <w:r w:rsidRPr="00AB7475">
        <w:rPr>
          <w:bCs/>
        </w:rPr>
        <w:t xml:space="preserve"> have all produced written guidelines and policies outlining their own stewardship process and practices (including voting and engagement). These managers are encouraged to vote in line with their respective guidelines, in respect of all resolutions, at annual and extraordinary general meetings of companies. As part of its manager selection and monitoring process, the Fund reviews such guidelines and policies and ensures that the practices adopted are aligned with the Fund’s own Responsible Investment Beliefs.</w:t>
      </w:r>
    </w:p>
    <w:p w14:paraId="357226E6" w14:textId="77777777" w:rsidR="00855112" w:rsidRPr="00AB7475" w:rsidRDefault="00855112" w:rsidP="00855112">
      <w:pPr>
        <w:rPr>
          <w:bCs/>
        </w:rPr>
      </w:pPr>
      <w:r w:rsidRPr="00AB7475">
        <w:rPr>
          <w:bCs/>
        </w:rPr>
        <w:t xml:space="preserve">The Fund embraces the 12 principles of the Financial Reporting Council’s UK Stewardship Code 2020 (the Code). Initial work has been commissioned to perform a gap analysis to identify areas for improving the monitoring of investment managers and further steps necessary to implement a Fund </w:t>
      </w:r>
      <w:r w:rsidRPr="007177F9">
        <w:rPr>
          <w:bCs/>
        </w:rPr>
        <w:t>Annual</w:t>
      </w:r>
      <w:r w:rsidRPr="00AB7475">
        <w:rPr>
          <w:bCs/>
        </w:rPr>
        <w:t xml:space="preserve"> Stewardship Report that meets the standards required to become a signatory to the Code. </w:t>
      </w:r>
    </w:p>
    <w:p w14:paraId="12CF7D39" w14:textId="77777777" w:rsidR="00665E57" w:rsidRDefault="00855112" w:rsidP="00E230F1">
      <w:pPr>
        <w:spacing w:after="240" w:line="259" w:lineRule="auto"/>
        <w:ind w:left="11" w:hanging="11"/>
        <w:rPr>
          <w:bCs/>
        </w:rPr>
      </w:pPr>
      <w:r w:rsidRPr="00AB7475">
        <w:rPr>
          <w:bCs/>
        </w:rPr>
        <w:t>LFS also expects that investment managers on the ACS platform will be signatories to and comply with the Code and the United Nations supported Principles of Responsible Investment (UNPRI).</w:t>
      </w:r>
    </w:p>
    <w:p w14:paraId="774B108E" w14:textId="42024EBC" w:rsidR="00855112" w:rsidRPr="00AB7475" w:rsidRDefault="00855112" w:rsidP="00E230F1">
      <w:pPr>
        <w:spacing w:after="240" w:line="259" w:lineRule="auto"/>
        <w:ind w:left="11" w:hanging="11"/>
        <w:rPr>
          <w:bCs/>
        </w:rPr>
      </w:pPr>
      <w:r w:rsidRPr="00AB7475">
        <w:rPr>
          <w:bCs/>
        </w:rPr>
        <w:lastRenderedPageBreak/>
        <w:t>When it comes to engagement, investment managers provided through ACCESS and the Fund’s other investment managers not accessed via the platform are expected to engage in constructive dialogue on behalf of the Fund and to use their influence to encourage companies to adopt best practice in key areas.</w:t>
      </w:r>
      <w:r w:rsidR="00665E57">
        <w:rPr>
          <w:bCs/>
        </w:rPr>
        <w:t xml:space="preserve"> </w:t>
      </w:r>
      <w:proofErr w:type="gramStart"/>
      <w:r w:rsidR="00665E57">
        <w:rPr>
          <w:rFonts w:eastAsia="Times New Roman"/>
        </w:rPr>
        <w:t>In the event that</w:t>
      </w:r>
      <w:proofErr w:type="gramEnd"/>
      <w:r w:rsidR="00665E57">
        <w:rPr>
          <w:rFonts w:eastAsia="Times New Roman"/>
        </w:rPr>
        <w:t xml:space="preserve"> engagement is not effective the Fund will consider divestment from an individual stock, where agreed with fellow ACCESS investors and the relevant investment manager that this is appropriate. If the Fund cannot reach agreement with the investment manager on a stewardship issue, it may be appropriate to divest from the manager.</w:t>
      </w:r>
    </w:p>
    <w:p w14:paraId="15C710F9" w14:textId="77777777" w:rsidR="00855112" w:rsidRPr="00AB7475" w:rsidRDefault="00855112" w:rsidP="00E230F1">
      <w:pPr>
        <w:numPr>
          <w:ilvl w:val="1"/>
          <w:numId w:val="13"/>
        </w:numPr>
        <w:spacing w:after="200" w:line="276" w:lineRule="auto"/>
        <w:ind w:left="426" w:hanging="426"/>
        <w:rPr>
          <w:bCs/>
        </w:rPr>
      </w:pPr>
      <w:r w:rsidRPr="00AB7475">
        <w:rPr>
          <w:bCs/>
        </w:rPr>
        <w:t>Climate change</w:t>
      </w:r>
    </w:p>
    <w:p w14:paraId="10E2DDD4" w14:textId="77777777" w:rsidR="00855112" w:rsidRPr="00AB7475" w:rsidRDefault="00855112" w:rsidP="00855112">
      <w:pPr>
        <w:rPr>
          <w:bCs/>
        </w:rPr>
      </w:pPr>
      <w:r w:rsidRPr="00AB7475">
        <w:rPr>
          <w:bCs/>
        </w:rPr>
        <w:t xml:space="preserve">The </w:t>
      </w:r>
      <w:r>
        <w:rPr>
          <w:bCs/>
        </w:rPr>
        <w:t>Fund is</w:t>
      </w:r>
      <w:r w:rsidRPr="00AB7475">
        <w:rPr>
          <w:bCs/>
        </w:rPr>
        <w:t xml:space="preserve"> assess</w:t>
      </w:r>
      <w:r>
        <w:rPr>
          <w:bCs/>
        </w:rPr>
        <w:t>ing</w:t>
      </w:r>
      <w:r w:rsidRPr="00AB7475">
        <w:rPr>
          <w:bCs/>
        </w:rPr>
        <w:t xml:space="preserve"> the implications of reporting in line with the Financial Stability Board’s Task Force on Climate-related Financial Disclosures (“TCFD”) framework across the four pillars </w:t>
      </w:r>
      <w:r>
        <w:rPr>
          <w:bCs/>
        </w:rPr>
        <w:t xml:space="preserve">of </w:t>
      </w:r>
      <w:r w:rsidRPr="00AB7475">
        <w:rPr>
          <w:bCs/>
        </w:rPr>
        <w:t>Governance, Strategy, Risk Management, Metrics and Targets.</w:t>
      </w:r>
    </w:p>
    <w:p w14:paraId="6A64B86C" w14:textId="244FBFB3" w:rsidR="00855112" w:rsidRDefault="00855112" w:rsidP="00E230F1">
      <w:pPr>
        <w:spacing w:after="240" w:line="259" w:lineRule="auto"/>
        <w:ind w:left="11" w:hanging="11"/>
        <w:rPr>
          <w:bCs/>
        </w:rPr>
      </w:pPr>
      <w:bookmarkStart w:id="20" w:name="_Hlk171006855"/>
      <w:r w:rsidRPr="00487A25">
        <w:rPr>
          <w:bCs/>
        </w:rPr>
        <w:t>The Fund commission</w:t>
      </w:r>
      <w:r w:rsidR="00D041AB">
        <w:rPr>
          <w:bCs/>
        </w:rPr>
        <w:t xml:space="preserve">ed </w:t>
      </w:r>
      <w:r w:rsidRPr="00487A25">
        <w:rPr>
          <w:bCs/>
        </w:rPr>
        <w:t xml:space="preserve">an assessment </w:t>
      </w:r>
      <w:r w:rsidRPr="00E230F1">
        <w:rPr>
          <w:bCs/>
        </w:rPr>
        <w:t xml:space="preserve">of the systemic risk posed by climate change on an ongoing basis by undertaking climate change scenario analysis. This analysis seeks to understand the climate impact on return at the total Fund and asset class level across different warming scenarios and help the Fund to further its decision-making. </w:t>
      </w:r>
    </w:p>
    <w:p w14:paraId="7DCAE6A8" w14:textId="5A6D8BB6" w:rsidR="00D041AB" w:rsidRPr="00D041AB" w:rsidRDefault="00D041AB" w:rsidP="00D041AB">
      <w:pPr>
        <w:spacing w:after="240" w:line="259" w:lineRule="auto"/>
        <w:ind w:left="11" w:hanging="11"/>
        <w:rPr>
          <w:bCs/>
        </w:rPr>
      </w:pPr>
      <w:r w:rsidRPr="00D041AB">
        <w:rPr>
          <w:bCs/>
        </w:rPr>
        <w:t>On 17 February 2022, the Investment Sub Committee approved decarbonisation targets to reduce the carbon emissions of listed equities by 25% by 2024 and by 59% by 2030 together with a climate action plan for 2022, 2023 and beyond.</w:t>
      </w:r>
    </w:p>
    <w:p w14:paraId="4A6E992F" w14:textId="3795AA0C" w:rsidR="00D041AB" w:rsidRPr="00D041AB" w:rsidRDefault="00D041AB" w:rsidP="00D041AB">
      <w:pPr>
        <w:spacing w:after="240" w:line="259" w:lineRule="auto"/>
        <w:ind w:left="11" w:hanging="11"/>
        <w:rPr>
          <w:bCs/>
        </w:rPr>
      </w:pPr>
      <w:r w:rsidRPr="00D041AB">
        <w:rPr>
          <w:bCs/>
        </w:rPr>
        <w:t>We intend decarbonising our portfolio at the same rate as the European Policy Curve (EPC) meaning our decarbonisation pathway would stay ‘ahead of the market’ and achieve our ambitions to reach net zero by 2050 or earlier.</w:t>
      </w:r>
    </w:p>
    <w:p w14:paraId="2279FD23" w14:textId="0FF78575" w:rsidR="00D041AB" w:rsidRDefault="00D041AB" w:rsidP="00D041AB">
      <w:pPr>
        <w:spacing w:after="240" w:line="259" w:lineRule="auto"/>
        <w:ind w:left="11" w:hanging="11"/>
        <w:rPr>
          <w:bCs/>
        </w:rPr>
      </w:pPr>
      <w:r w:rsidRPr="00D041AB">
        <w:rPr>
          <w:bCs/>
        </w:rPr>
        <w:t>Progress against these targets will be reviewed regularly via a climate dashboard setting out key carbon metrics which we will measure and track over time. We’ll provide regular communication on how we are progressing on our journey to achieve net zero.</w:t>
      </w:r>
    </w:p>
    <w:bookmarkEnd w:id="20"/>
    <w:p w14:paraId="35040018" w14:textId="77777777" w:rsidR="00855112" w:rsidRPr="00AB7475" w:rsidRDefault="00855112" w:rsidP="00E230F1">
      <w:pPr>
        <w:numPr>
          <w:ilvl w:val="1"/>
          <w:numId w:val="13"/>
        </w:numPr>
        <w:spacing w:after="200" w:line="276" w:lineRule="auto"/>
        <w:ind w:left="426" w:hanging="426"/>
        <w:rPr>
          <w:bCs/>
        </w:rPr>
      </w:pPr>
      <w:r w:rsidRPr="005F2DF6">
        <w:rPr>
          <w:bCs/>
        </w:rPr>
        <w:t>Thematic sustainable investments opportunities</w:t>
      </w:r>
    </w:p>
    <w:p w14:paraId="75847208" w14:textId="77777777" w:rsidR="00855112" w:rsidRPr="00AB7475" w:rsidRDefault="00855112" w:rsidP="00855112">
      <w:pPr>
        <w:rPr>
          <w:bCs/>
        </w:rPr>
      </w:pPr>
      <w:r w:rsidRPr="00AB7475">
        <w:rPr>
          <w:bCs/>
        </w:rPr>
        <w:t xml:space="preserve">Within the Fund’s Alternative assets allocation, commitments have been made to Local Investments where these are </w:t>
      </w:r>
      <w:r>
        <w:rPr>
          <w:bCs/>
        </w:rPr>
        <w:t xml:space="preserve">of </w:t>
      </w:r>
      <w:r w:rsidRPr="00AB7475">
        <w:rPr>
          <w:bCs/>
        </w:rPr>
        <w:t xml:space="preserve">investible quality and expected to provide strong returns with the subsidiary benefit of supporting businesses and employment in the region. </w:t>
      </w:r>
    </w:p>
    <w:p w14:paraId="75178A86" w14:textId="77777777" w:rsidR="00855112" w:rsidRDefault="00855112" w:rsidP="00855112">
      <w:pPr>
        <w:rPr>
          <w:bCs/>
        </w:rPr>
      </w:pPr>
      <w:r w:rsidRPr="008F1F1A">
        <w:rPr>
          <w:bCs/>
        </w:rPr>
        <w:t xml:space="preserve">The Fund is </w:t>
      </w:r>
      <w:r>
        <w:rPr>
          <w:bCs/>
        </w:rPr>
        <w:t xml:space="preserve">additionally </w:t>
      </w:r>
      <w:r w:rsidRPr="008F1F1A">
        <w:rPr>
          <w:bCs/>
        </w:rPr>
        <w:t>open to investment initiatives with environmental or low carbon themes</w:t>
      </w:r>
      <w:r>
        <w:rPr>
          <w:bCs/>
        </w:rPr>
        <w:t xml:space="preserve"> or where there is a social benefit, providing they meet the requirements set out in Section C above.</w:t>
      </w:r>
    </w:p>
    <w:p w14:paraId="232A2CFE" w14:textId="6D934E32" w:rsidR="00855112" w:rsidRPr="00AB7475" w:rsidRDefault="00855112" w:rsidP="00E230F1">
      <w:pPr>
        <w:spacing w:after="240" w:line="259" w:lineRule="auto"/>
        <w:ind w:left="11" w:hanging="11"/>
        <w:rPr>
          <w:bCs/>
        </w:rPr>
      </w:pPr>
      <w:r>
        <w:rPr>
          <w:bCs/>
        </w:rPr>
        <w:t xml:space="preserve">The Fund will always seek to use the ACCESS Pool in the first instance to meet its strategic investment needs, with Alternative asset solutions expected to become available within the </w:t>
      </w:r>
      <w:r w:rsidR="00A415ED">
        <w:rPr>
          <w:bCs/>
        </w:rPr>
        <w:t>p</w:t>
      </w:r>
      <w:r>
        <w:rPr>
          <w:bCs/>
        </w:rPr>
        <w:t>ool from late 2021.</w:t>
      </w:r>
    </w:p>
    <w:p w14:paraId="240CDEEC" w14:textId="77777777" w:rsidR="00855112" w:rsidRPr="00AB7475" w:rsidRDefault="00855112" w:rsidP="00E230F1">
      <w:pPr>
        <w:numPr>
          <w:ilvl w:val="1"/>
          <w:numId w:val="13"/>
        </w:numPr>
        <w:spacing w:after="200" w:line="276" w:lineRule="auto"/>
        <w:ind w:left="426" w:hanging="426"/>
        <w:rPr>
          <w:bCs/>
        </w:rPr>
      </w:pPr>
      <w:r w:rsidRPr="00AB7475">
        <w:rPr>
          <w:bCs/>
        </w:rPr>
        <w:t>Pooling</w:t>
      </w:r>
    </w:p>
    <w:p w14:paraId="1CD0C4A0" w14:textId="77777777" w:rsidR="00855112" w:rsidRPr="008654A6" w:rsidRDefault="00855112" w:rsidP="00855112">
      <w:pPr>
        <w:rPr>
          <w:bCs/>
        </w:rPr>
      </w:pPr>
      <w:r w:rsidRPr="008654A6">
        <w:rPr>
          <w:bCs/>
        </w:rPr>
        <w:t>It is expected that the Fund’s ability to carry out t</w:t>
      </w:r>
      <w:r>
        <w:rPr>
          <w:bCs/>
        </w:rPr>
        <w:t>his</w:t>
      </w:r>
      <w:r w:rsidRPr="008654A6">
        <w:rPr>
          <w:bCs/>
        </w:rPr>
        <w:t xml:space="preserve"> Responsible Investment Policy will be enhanced through the ACCESS Pool</w:t>
      </w:r>
      <w:r>
        <w:rPr>
          <w:bCs/>
        </w:rPr>
        <w:t>,</w:t>
      </w:r>
      <w:r w:rsidRPr="008654A6">
        <w:rPr>
          <w:bCs/>
        </w:rPr>
        <w:t xml:space="preserve"> due to the inherent benefits of scale and improved governance and stewardship practices that will result from the collaboration.  </w:t>
      </w:r>
    </w:p>
    <w:p w14:paraId="1013ED25" w14:textId="472BD471" w:rsidR="00855112" w:rsidRPr="008654A6" w:rsidRDefault="00855112" w:rsidP="00855112">
      <w:pPr>
        <w:rPr>
          <w:bCs/>
        </w:rPr>
      </w:pPr>
      <w:r w:rsidRPr="00AB7475">
        <w:rPr>
          <w:bCs/>
        </w:rPr>
        <w:lastRenderedPageBreak/>
        <w:t xml:space="preserve">For the investments that are held within the ACCESS </w:t>
      </w:r>
      <w:r w:rsidR="00BC0377">
        <w:rPr>
          <w:bCs/>
        </w:rPr>
        <w:t>ACS</w:t>
      </w:r>
      <w:r w:rsidRPr="00AB7475">
        <w:rPr>
          <w:bCs/>
        </w:rPr>
        <w:t>, the Operator,</w:t>
      </w:r>
      <w:r w:rsidRPr="008654A6">
        <w:rPr>
          <w:bCs/>
        </w:rPr>
        <w:t xml:space="preserve"> </w:t>
      </w:r>
      <w:r w:rsidRPr="00AB7475">
        <w:rPr>
          <w:bCs/>
        </w:rPr>
        <w:t>L</w:t>
      </w:r>
      <w:r>
        <w:rPr>
          <w:bCs/>
        </w:rPr>
        <w:t xml:space="preserve">ink </w:t>
      </w:r>
      <w:r w:rsidRPr="00AB7475">
        <w:rPr>
          <w:bCs/>
        </w:rPr>
        <w:t>F</w:t>
      </w:r>
      <w:r>
        <w:rPr>
          <w:bCs/>
        </w:rPr>
        <w:t>und Solutions</w:t>
      </w:r>
      <w:r w:rsidRPr="00AB7475">
        <w:rPr>
          <w:bCs/>
        </w:rPr>
        <w:t xml:space="preserve">, </w:t>
      </w:r>
      <w:r w:rsidRPr="008654A6">
        <w:rPr>
          <w:bCs/>
        </w:rPr>
        <w:t xml:space="preserve">recognises that it has a responsibility to be an active steward and to promote good corporate governance and management </w:t>
      </w:r>
      <w:r>
        <w:rPr>
          <w:bCs/>
        </w:rPr>
        <w:t>of</w:t>
      </w:r>
      <w:r w:rsidRPr="008654A6">
        <w:rPr>
          <w:bCs/>
        </w:rPr>
        <w:t xml:space="preserve"> the companies </w:t>
      </w:r>
      <w:r>
        <w:rPr>
          <w:bCs/>
        </w:rPr>
        <w:t>within the ACCESS sub-funds</w:t>
      </w:r>
      <w:r w:rsidRPr="008654A6">
        <w:rPr>
          <w:bCs/>
        </w:rPr>
        <w:t xml:space="preserve">. </w:t>
      </w:r>
    </w:p>
    <w:p w14:paraId="677D4EB3" w14:textId="77777777" w:rsidR="00855112" w:rsidRPr="00AB7475" w:rsidRDefault="00855112" w:rsidP="00E230F1">
      <w:pPr>
        <w:spacing w:after="240" w:line="259" w:lineRule="auto"/>
        <w:ind w:left="11" w:hanging="11"/>
        <w:rPr>
          <w:bCs/>
        </w:rPr>
      </w:pPr>
      <w:r w:rsidRPr="003B2AE2">
        <w:rPr>
          <w:bCs/>
        </w:rPr>
        <w:t>The Fund will support the ACCESS Pool in further developing a pool level Responsible Investment Policy and associated reporting, that will enable all partner Funds to meet their strategic requirements with regards to ESG/Responsible Investment</w:t>
      </w:r>
      <w:r w:rsidRPr="00AB7475">
        <w:rPr>
          <w:bCs/>
        </w:rPr>
        <w:t>.</w:t>
      </w:r>
    </w:p>
    <w:p w14:paraId="4D4113F3"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21" w:name="_Toc77166443"/>
      <w:r w:rsidRPr="00E230F1">
        <w:rPr>
          <w:rFonts w:ascii="Arial" w:eastAsia="Times New Roman" w:hAnsi="Arial" w:cs="Arial"/>
          <w:color w:val="auto"/>
        </w:rPr>
        <w:t>MONITORING AND REPORTING PROGRESS</w:t>
      </w:r>
      <w:bookmarkEnd w:id="21"/>
    </w:p>
    <w:p w14:paraId="54A732D5" w14:textId="77777777" w:rsidR="00855112" w:rsidRPr="00AB7475" w:rsidRDefault="00855112" w:rsidP="00E230F1">
      <w:pPr>
        <w:keepNext/>
        <w:keepLines/>
        <w:numPr>
          <w:ilvl w:val="1"/>
          <w:numId w:val="14"/>
        </w:numPr>
        <w:spacing w:after="200" w:line="276" w:lineRule="auto"/>
        <w:ind w:left="0" w:firstLine="0"/>
        <w:rPr>
          <w:bCs/>
        </w:rPr>
      </w:pPr>
      <w:r w:rsidRPr="00AB7475">
        <w:rPr>
          <w:bCs/>
        </w:rPr>
        <w:t>ESG integration</w:t>
      </w:r>
    </w:p>
    <w:p w14:paraId="2D560240" w14:textId="7781CBB0" w:rsidR="00855112" w:rsidRPr="00AB7475" w:rsidRDefault="00855112" w:rsidP="00E230F1">
      <w:pPr>
        <w:spacing w:after="240" w:line="259" w:lineRule="auto"/>
        <w:ind w:left="11" w:hanging="11"/>
        <w:rPr>
          <w:bCs/>
        </w:rPr>
      </w:pPr>
      <w:r w:rsidRPr="00AB7475">
        <w:rPr>
          <w:bCs/>
        </w:rPr>
        <w:t xml:space="preserve">The </w:t>
      </w:r>
      <w:r w:rsidR="006F463E">
        <w:rPr>
          <w:bCs/>
        </w:rPr>
        <w:t>Committee</w:t>
      </w:r>
      <w:r>
        <w:rPr>
          <w:bCs/>
        </w:rPr>
        <w:t xml:space="preserve"> will receive</w:t>
      </w:r>
      <w:r w:rsidRPr="00AB7475">
        <w:rPr>
          <w:bCs/>
        </w:rPr>
        <w:t xml:space="preserve"> an annual report on the degree to which the Fund’s investment managers integrate ESG within their investment practises and how they compare to peers</w:t>
      </w:r>
      <w:r>
        <w:rPr>
          <w:bCs/>
        </w:rPr>
        <w:t>. In addition, ongoing ESG developments will be monitored through performance reporting. W</w:t>
      </w:r>
      <w:r w:rsidRPr="00E230F1">
        <w:rPr>
          <w:bCs/>
        </w:rPr>
        <w:t xml:space="preserve">here managers are </w:t>
      </w:r>
      <w:proofErr w:type="gramStart"/>
      <w:r w:rsidRPr="00E230F1">
        <w:rPr>
          <w:bCs/>
        </w:rPr>
        <w:t>lagging behind</w:t>
      </w:r>
      <w:proofErr w:type="gramEnd"/>
      <w:r w:rsidRPr="00E230F1">
        <w:rPr>
          <w:bCs/>
        </w:rPr>
        <w:t xml:space="preserve"> their peers (or the expectations of this Policy) engagement will be undertaken with the manager to encourage them to improve.</w:t>
      </w:r>
    </w:p>
    <w:p w14:paraId="57A1282A" w14:textId="77777777" w:rsidR="00855112" w:rsidRPr="00AB7475" w:rsidRDefault="00855112" w:rsidP="00E230F1">
      <w:pPr>
        <w:keepNext/>
        <w:keepLines/>
        <w:numPr>
          <w:ilvl w:val="1"/>
          <w:numId w:val="14"/>
        </w:numPr>
        <w:spacing w:after="200" w:line="276" w:lineRule="auto"/>
        <w:ind w:left="0" w:firstLine="0"/>
        <w:rPr>
          <w:bCs/>
        </w:rPr>
      </w:pPr>
      <w:r w:rsidRPr="00AB7475">
        <w:rPr>
          <w:bCs/>
        </w:rPr>
        <w:t xml:space="preserve">Stewardship - voting and engagement activities of the equity managers for their holdings. </w:t>
      </w:r>
    </w:p>
    <w:p w14:paraId="5C8EC812" w14:textId="77777777" w:rsidR="00855112" w:rsidRDefault="00855112" w:rsidP="00855112">
      <w:pPr>
        <w:rPr>
          <w:bCs/>
        </w:rPr>
      </w:pPr>
      <w:r w:rsidRPr="00AB7475">
        <w:rPr>
          <w:bCs/>
        </w:rPr>
        <w:t xml:space="preserve">All investment managers are expected to report on their voting activity on a regular basis, with ACCESS </w:t>
      </w:r>
      <w:r>
        <w:rPr>
          <w:bCs/>
        </w:rPr>
        <w:t xml:space="preserve">Pool </w:t>
      </w:r>
      <w:r w:rsidRPr="00AB7475">
        <w:rPr>
          <w:bCs/>
        </w:rPr>
        <w:t xml:space="preserve">managers required to report </w:t>
      </w:r>
      <w:proofErr w:type="gramStart"/>
      <w:r w:rsidRPr="00AB7475">
        <w:rPr>
          <w:bCs/>
        </w:rPr>
        <w:t>on a monthly basis</w:t>
      </w:r>
      <w:proofErr w:type="gramEnd"/>
      <w:r w:rsidRPr="00AB7475">
        <w:rPr>
          <w:bCs/>
        </w:rPr>
        <w:t xml:space="preserve">. </w:t>
      </w:r>
    </w:p>
    <w:p w14:paraId="6C9E3B32" w14:textId="6CB821C9" w:rsidR="00855112" w:rsidRPr="008654A6" w:rsidRDefault="00855112" w:rsidP="00855112">
      <w:pPr>
        <w:rPr>
          <w:bCs/>
        </w:rPr>
      </w:pPr>
      <w:r w:rsidRPr="00AB7475">
        <w:rPr>
          <w:bCs/>
        </w:rPr>
        <w:t xml:space="preserve">The Fund </w:t>
      </w:r>
      <w:r>
        <w:rPr>
          <w:bCs/>
        </w:rPr>
        <w:t xml:space="preserve">publishes on its web pages </w:t>
      </w:r>
      <w:hyperlink r:id="rId28" w:history="1">
        <w:r w:rsidRPr="00F22A35">
          <w:rPr>
            <w:rStyle w:val="Hyperlink"/>
            <w:bCs/>
          </w:rPr>
          <w:t>a quarterly summary of the proxy voting</w:t>
        </w:r>
      </w:hyperlink>
      <w:r w:rsidRPr="00AB7475">
        <w:rPr>
          <w:bCs/>
        </w:rPr>
        <w:t xml:space="preserve"> undertaken on the Fund’s behalf, a wider annual review of the investment arrangements via the Report and Accounts and provide</w:t>
      </w:r>
      <w:r w:rsidR="006F463E">
        <w:rPr>
          <w:bCs/>
        </w:rPr>
        <w:t>s</w:t>
      </w:r>
      <w:r w:rsidRPr="00AB7475">
        <w:rPr>
          <w:bCs/>
        </w:rPr>
        <w:t xml:space="preserve"> member communications as and when appropriate.</w:t>
      </w:r>
    </w:p>
    <w:p w14:paraId="0D51D325" w14:textId="77777777" w:rsidR="00855112" w:rsidRPr="00AB7475" w:rsidRDefault="00855112" w:rsidP="00855112">
      <w:pPr>
        <w:rPr>
          <w:bCs/>
        </w:rPr>
      </w:pPr>
      <w:r w:rsidRPr="00E230F1">
        <w:rPr>
          <w:bCs/>
        </w:rPr>
        <w:t>Regarding engagement, the Fund receives regular reporting covering the dialogue between investment managers provided by the ACCESS ACS with companies to encourage best practice in key areas.</w:t>
      </w:r>
    </w:p>
    <w:p w14:paraId="171DEE29" w14:textId="30664FEF" w:rsidR="00855112" w:rsidRPr="00EB1A1A" w:rsidRDefault="00855112" w:rsidP="00855112">
      <w:pPr>
        <w:rPr>
          <w:bCs/>
        </w:rPr>
      </w:pPr>
      <w:r w:rsidRPr="00E230F1">
        <w:rPr>
          <w:bCs/>
        </w:rPr>
        <w:t xml:space="preserve">Where managers are </w:t>
      </w:r>
      <w:proofErr w:type="gramStart"/>
      <w:r w:rsidRPr="00E230F1">
        <w:rPr>
          <w:bCs/>
        </w:rPr>
        <w:t>lagging behind</w:t>
      </w:r>
      <w:proofErr w:type="gramEnd"/>
      <w:r w:rsidRPr="00E230F1">
        <w:rPr>
          <w:bCs/>
        </w:rPr>
        <w:t xml:space="preserve"> their peers (or expectations of this policy) on voting and engagement activity, engagement will be undertaken wi</w:t>
      </w:r>
      <w:r w:rsidR="007F111F">
        <w:rPr>
          <w:bCs/>
        </w:rPr>
        <w:t xml:space="preserve">th the manager to explain </w:t>
      </w:r>
      <w:r w:rsidR="007A6584">
        <w:rPr>
          <w:bCs/>
        </w:rPr>
        <w:t xml:space="preserve">their performance and </w:t>
      </w:r>
      <w:r w:rsidR="008F0828">
        <w:rPr>
          <w:bCs/>
        </w:rPr>
        <w:t xml:space="preserve">to </w:t>
      </w:r>
      <w:r w:rsidRPr="00E230F1">
        <w:rPr>
          <w:bCs/>
        </w:rPr>
        <w:t>encourage them to improve.</w:t>
      </w:r>
      <w:r w:rsidRPr="00EB1A1A" w:rsidDel="00681D2D">
        <w:rPr>
          <w:bCs/>
        </w:rPr>
        <w:t xml:space="preserve"> </w:t>
      </w:r>
    </w:p>
    <w:p w14:paraId="72466BD0" w14:textId="7FCC4A5F" w:rsidR="00855112" w:rsidRDefault="00855112" w:rsidP="00E230F1">
      <w:pPr>
        <w:spacing w:after="240" w:line="259" w:lineRule="auto"/>
        <w:ind w:left="11" w:hanging="11"/>
        <w:rPr>
          <w:bCs/>
        </w:rPr>
      </w:pPr>
      <w:r w:rsidRPr="00AB7475">
        <w:rPr>
          <w:bCs/>
        </w:rPr>
        <w:t>In addition, the Fund is a member of the Local Authority Pension Fund Forum (“LAPFF”) which aims to protect the long-term investment interests of LGPS beneficiaries by promoting the highest standards of corporate governance and corporate responsibility amongst investee companies</w:t>
      </w:r>
      <w:r>
        <w:rPr>
          <w:bCs/>
        </w:rPr>
        <w:t xml:space="preserve"> through active engagement with management</w:t>
      </w:r>
      <w:r w:rsidRPr="00AB7475">
        <w:rPr>
          <w:bCs/>
        </w:rPr>
        <w:t>. Further details can be found on the</w:t>
      </w:r>
      <w:r>
        <w:rPr>
          <w:bCs/>
        </w:rPr>
        <w:t xml:space="preserve"> </w:t>
      </w:r>
      <w:hyperlink r:id="rId29" w:history="1">
        <w:r>
          <w:rPr>
            <w:rStyle w:val="Hyperlink"/>
          </w:rPr>
          <w:t>LAPFF website</w:t>
        </w:r>
      </w:hyperlink>
      <w:r>
        <w:t>.</w:t>
      </w:r>
      <w:r w:rsidR="00952BB1">
        <w:br/>
        <w:t>The Fund receives regular email updates and a quarterly report from LAPFF on engagement activity including the nature and outcomes from those engagement activities.</w:t>
      </w:r>
    </w:p>
    <w:p w14:paraId="12A3115D" w14:textId="77777777" w:rsidR="00855112" w:rsidRPr="00AB7475" w:rsidRDefault="00855112" w:rsidP="00E230F1">
      <w:pPr>
        <w:keepNext/>
        <w:keepLines/>
        <w:numPr>
          <w:ilvl w:val="1"/>
          <w:numId w:val="14"/>
        </w:numPr>
        <w:spacing w:after="200" w:line="276" w:lineRule="auto"/>
        <w:ind w:left="0" w:firstLine="0"/>
        <w:rPr>
          <w:bCs/>
        </w:rPr>
      </w:pPr>
      <w:r w:rsidRPr="00AB7475">
        <w:rPr>
          <w:bCs/>
        </w:rPr>
        <w:t>Climate change</w:t>
      </w:r>
    </w:p>
    <w:p w14:paraId="14DDC792" w14:textId="77777777" w:rsidR="00855112" w:rsidRPr="00FA035B" w:rsidRDefault="00855112" w:rsidP="00855112">
      <w:pPr>
        <w:rPr>
          <w:bCs/>
        </w:rPr>
      </w:pPr>
      <w:r w:rsidRPr="00FA035B">
        <w:rPr>
          <w:bCs/>
        </w:rPr>
        <w:t xml:space="preserve">The Fund is committed to developing its reporting in this area, including with regards to carbon-foot-printing (for example, </w:t>
      </w:r>
      <w:r w:rsidRPr="00E230F1">
        <w:rPr>
          <w:rFonts w:eastAsia="Times New Roman"/>
        </w:rPr>
        <w:t>carbon intensity, fossil fuel reserves and potential emissions</w:t>
      </w:r>
      <w:r w:rsidRPr="00FA035B">
        <w:rPr>
          <w:bCs/>
        </w:rPr>
        <w:t>) and scenario analysis.</w:t>
      </w:r>
    </w:p>
    <w:p w14:paraId="1B3DFB04" w14:textId="5F51062D" w:rsidR="00855112" w:rsidRDefault="00855112" w:rsidP="00855112">
      <w:pPr>
        <w:rPr>
          <w:bCs/>
        </w:rPr>
      </w:pPr>
      <w:r w:rsidRPr="00FA035B">
        <w:rPr>
          <w:bCs/>
        </w:rPr>
        <w:t xml:space="preserve">The reporting of carbon exposures in investment portfolios is a relatively new development and as such not all investment managers provide data on a comparable basis. The ACCESS Pool provides a basic report on sub-funds held in the ACCESS </w:t>
      </w:r>
      <w:proofErr w:type="gramStart"/>
      <w:r w:rsidR="006F463E">
        <w:rPr>
          <w:bCs/>
        </w:rPr>
        <w:t>ACS</w:t>
      </w:r>
      <w:proofErr w:type="gramEnd"/>
      <w:r w:rsidR="006F463E">
        <w:rPr>
          <w:bCs/>
        </w:rPr>
        <w:t xml:space="preserve"> </w:t>
      </w:r>
      <w:r w:rsidRPr="00FA035B">
        <w:rPr>
          <w:bCs/>
        </w:rPr>
        <w:t xml:space="preserve">but complete data is not yet available. ACCESS are currently developing their reporting requirements in this area and the Fund is actively </w:t>
      </w:r>
      <w:r w:rsidRPr="00FA035B">
        <w:rPr>
          <w:bCs/>
        </w:rPr>
        <w:lastRenderedPageBreak/>
        <w:t>supporting this development in order that the requirements of this Responsible Investment Policy can be met</w:t>
      </w:r>
      <w:r>
        <w:rPr>
          <w:bCs/>
        </w:rPr>
        <w:t>.</w:t>
      </w:r>
    </w:p>
    <w:p w14:paraId="33D38D2A" w14:textId="6D90E3E1" w:rsidR="00855112" w:rsidRDefault="00855112" w:rsidP="00855112">
      <w:pPr>
        <w:rPr>
          <w:rFonts w:eastAsia="Times New Roman"/>
          <w:color w:val="000000" w:themeColor="text1"/>
        </w:rPr>
      </w:pPr>
      <w:r>
        <w:rPr>
          <w:bCs/>
        </w:rPr>
        <w:t xml:space="preserve">The </w:t>
      </w:r>
      <w:r w:rsidRPr="00AB7475">
        <w:rPr>
          <w:bCs/>
        </w:rPr>
        <w:t xml:space="preserve">Fund will </w:t>
      </w:r>
      <w:r>
        <w:rPr>
          <w:bCs/>
        </w:rPr>
        <w:t xml:space="preserve">also </w:t>
      </w:r>
      <w:r w:rsidRPr="00AB7475">
        <w:rPr>
          <w:bCs/>
        </w:rPr>
        <w:t xml:space="preserve">be developing an approach to assessing climate change scenario analysis </w:t>
      </w:r>
      <w:proofErr w:type="gramStart"/>
      <w:r w:rsidRPr="00AB7475">
        <w:rPr>
          <w:rFonts w:eastAsia="Times New Roman"/>
          <w:color w:val="000000" w:themeColor="text1"/>
        </w:rPr>
        <w:t>in order to</w:t>
      </w:r>
      <w:proofErr w:type="gramEnd"/>
      <w:r w:rsidRPr="00AB7475">
        <w:rPr>
          <w:rFonts w:eastAsia="Times New Roman"/>
          <w:color w:val="000000" w:themeColor="text1"/>
        </w:rPr>
        <w:t xml:space="preserve"> understand the climate impact on return at the total Fund and asset class level across different warming scenarios and help the Fund to further its decision-making.</w:t>
      </w:r>
    </w:p>
    <w:p w14:paraId="6A83336F" w14:textId="1B2C3249" w:rsidR="0083087B" w:rsidRDefault="0083087B" w:rsidP="00855112">
      <w:pPr>
        <w:rPr>
          <w:rFonts w:eastAsia="Times New Roman"/>
          <w:color w:val="000000" w:themeColor="text1"/>
        </w:rPr>
      </w:pPr>
      <w:r>
        <w:rPr>
          <w:rFonts w:eastAsia="Times New Roman"/>
          <w:color w:val="000000" w:themeColor="text1"/>
        </w:rPr>
        <w:t>The Fund is working with advisers to produce its first report that complies with the TCFD reporting recommendations that will be mandatory for large private sector funds from 2021 and are expected to become mandatory for LGPS Funds in the coming years.</w:t>
      </w:r>
    </w:p>
    <w:p w14:paraId="653D6F81" w14:textId="77777777" w:rsidR="00FA035B" w:rsidRPr="003B2AE2" w:rsidRDefault="00FA035B" w:rsidP="00E230F1">
      <w:pPr>
        <w:keepNext/>
        <w:keepLines/>
        <w:numPr>
          <w:ilvl w:val="1"/>
          <w:numId w:val="14"/>
        </w:numPr>
        <w:spacing w:after="200" w:line="276" w:lineRule="auto"/>
        <w:ind w:left="0" w:firstLine="0"/>
        <w:rPr>
          <w:bCs/>
        </w:rPr>
      </w:pPr>
      <w:r w:rsidRPr="003B2AE2">
        <w:rPr>
          <w:bCs/>
        </w:rPr>
        <w:t>Thematic sustainable investments opportunities</w:t>
      </w:r>
    </w:p>
    <w:p w14:paraId="00EBA2FA" w14:textId="77777777" w:rsidR="00FA035B" w:rsidRPr="00E230F1" w:rsidRDefault="00FA035B" w:rsidP="00E230F1">
      <w:pPr>
        <w:rPr>
          <w:bCs/>
        </w:rPr>
      </w:pPr>
      <w:r w:rsidRPr="00E230F1">
        <w:rPr>
          <w:bCs/>
        </w:rPr>
        <w:t>The Fund’s investments in thematic investments will be reported in the Fund’s Annual Report.</w:t>
      </w:r>
    </w:p>
    <w:p w14:paraId="6AD7EEA4" w14:textId="77777777" w:rsidR="00FA035B" w:rsidRPr="00E230F1" w:rsidRDefault="00FA035B" w:rsidP="00E230F1">
      <w:pPr>
        <w:spacing w:after="240" w:line="259" w:lineRule="auto"/>
        <w:ind w:left="11" w:hanging="11"/>
        <w:rPr>
          <w:bCs/>
        </w:rPr>
      </w:pPr>
      <w:r w:rsidRPr="00E230F1">
        <w:rPr>
          <w:bCs/>
        </w:rPr>
        <w:t xml:space="preserve">Reporting will be developed as appropriate to measure progress against the sustainable objectives of each investment. </w:t>
      </w:r>
    </w:p>
    <w:p w14:paraId="78EAEEA8" w14:textId="77777777" w:rsidR="00FA035B" w:rsidRPr="00AB7475" w:rsidRDefault="00FA035B" w:rsidP="00E230F1">
      <w:pPr>
        <w:keepNext/>
        <w:keepLines/>
        <w:numPr>
          <w:ilvl w:val="1"/>
          <w:numId w:val="14"/>
        </w:numPr>
        <w:spacing w:after="200" w:line="276" w:lineRule="auto"/>
        <w:ind w:left="0" w:firstLine="0"/>
        <w:rPr>
          <w:bCs/>
        </w:rPr>
      </w:pPr>
      <w:r w:rsidRPr="00AB7475">
        <w:rPr>
          <w:bCs/>
        </w:rPr>
        <w:t>Pooling</w:t>
      </w:r>
    </w:p>
    <w:p w14:paraId="67D289C1" w14:textId="6EF5188C" w:rsidR="00FA035B" w:rsidRPr="00E230F1" w:rsidRDefault="00FA035B" w:rsidP="00FA035B">
      <w:pPr>
        <w:rPr>
          <w:bCs/>
        </w:rPr>
      </w:pPr>
      <w:r w:rsidRPr="00E230F1">
        <w:rPr>
          <w:bCs/>
        </w:rPr>
        <w:t xml:space="preserve">Pool level reporting will be provided to facilitate the Fund and ACCESS Pool’s monitoring of the ACCESS sub-fund managers and Alternative asset managers, as and when the pool Alternatives solution is implemented. The Fund is committed to working with ACCESS </w:t>
      </w:r>
      <w:r w:rsidR="00A415ED">
        <w:rPr>
          <w:bCs/>
        </w:rPr>
        <w:t>P</w:t>
      </w:r>
      <w:r w:rsidRPr="00E230F1">
        <w:rPr>
          <w:bCs/>
        </w:rPr>
        <w:t>ool partner funds to further develop pool level reporting and to facilitate the Fund’s RI reporting on its total assets including those not held in the pool.</w:t>
      </w:r>
    </w:p>
    <w:p w14:paraId="352C22D2" w14:textId="77777777" w:rsidR="00FA035B" w:rsidRDefault="00FA035B" w:rsidP="00855112">
      <w:pPr>
        <w:rPr>
          <w:rFonts w:ascii="Calibri" w:eastAsia="Times New Roman" w:hAnsi="Calibri" w:cs="Calibri"/>
        </w:rPr>
      </w:pPr>
    </w:p>
    <w:p w14:paraId="360D45D7" w14:textId="66CCC840" w:rsidR="006B3163" w:rsidRDefault="006B3163">
      <w:pPr>
        <w:spacing w:after="108" w:line="259" w:lineRule="auto"/>
        <w:ind w:left="14" w:firstLine="0"/>
      </w:pPr>
    </w:p>
    <w:p w14:paraId="360D45EA" w14:textId="234F8336" w:rsidR="006B3163" w:rsidRDefault="00027CC4" w:rsidP="00E230F1">
      <w:pPr>
        <w:spacing w:after="115" w:line="259" w:lineRule="auto"/>
        <w:ind w:left="14" w:firstLine="0"/>
      </w:pPr>
      <w:r>
        <w:t xml:space="preserve">For and on behalf of </w:t>
      </w:r>
      <w:r w:rsidR="00DE39A6">
        <w:t xml:space="preserve">the </w:t>
      </w:r>
      <w:r>
        <w:t>Pension Committee</w:t>
      </w:r>
      <w:r w:rsidR="00AF1F0E">
        <w:t xml:space="preserve"> of West Northamptonshire Council as Administering Authority of the Northamptonshire Pension Fund</w:t>
      </w:r>
      <w:r w:rsidR="00DE39A6">
        <w:t>.</w:t>
      </w:r>
      <w:r>
        <w:t xml:space="preserve">  </w:t>
      </w:r>
    </w:p>
    <w:sectPr w:rsidR="006B3163" w:rsidSect="00FB05A8">
      <w:footerReference w:type="default" r:id="rId30"/>
      <w:pgSz w:w="11906" w:h="16838"/>
      <w:pgMar w:top="1849" w:right="514" w:bottom="1570" w:left="1119" w:header="740" w:footer="3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45F1" w14:textId="77777777" w:rsidR="005707BC" w:rsidRDefault="005707BC">
      <w:pPr>
        <w:spacing w:after="0" w:line="240" w:lineRule="auto"/>
      </w:pPr>
      <w:r>
        <w:separator/>
      </w:r>
    </w:p>
  </w:endnote>
  <w:endnote w:type="continuationSeparator" w:id="0">
    <w:p w14:paraId="360D45F2" w14:textId="77777777" w:rsidR="005707BC" w:rsidRDefault="0057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5" w14:textId="77777777" w:rsidR="005707BC" w:rsidRDefault="005707BC">
    <w:pPr>
      <w:spacing w:after="0" w:line="259" w:lineRule="auto"/>
      <w:ind w:left="3082" w:firstLine="0"/>
    </w:pPr>
    <w:r>
      <w:rPr>
        <w:noProof/>
      </w:rPr>
      <w:drawing>
        <wp:inline distT="0" distB="0" distL="0" distR="0" wp14:anchorId="360D4600" wp14:editId="7C832815">
          <wp:extent cx="1296924" cy="65151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96924" cy="651510"/>
                  </a:xfrm>
                  <a:prstGeom prst="rect">
                    <a:avLst/>
                  </a:prstGeom>
                </pic:spPr>
              </pic:pic>
            </a:graphicData>
          </a:graphic>
        </wp:inline>
      </w:drawing>
    </w:r>
    <w:r>
      <w:rPr>
        <w:rFonts w:ascii="Calibri" w:eastAsia="Calibri" w:hAnsi="Calibri" w:cs="Calibri"/>
        <w:sz w:val="22"/>
      </w:rPr>
      <w:t xml:space="preserve">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0D45F6" w14:textId="77777777" w:rsidR="005707BC" w:rsidRDefault="005707BC">
    <w:pPr>
      <w:spacing w:after="0" w:line="259" w:lineRule="auto"/>
      <w:ind w:left="1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7" w14:textId="2D690453" w:rsidR="005707BC" w:rsidRDefault="00603AF6" w:rsidP="00FB05A8">
    <w:pPr>
      <w:spacing w:after="0" w:line="259" w:lineRule="auto"/>
      <w:ind w:left="0" w:firstLine="0"/>
    </w:pPr>
    <w:r>
      <w:rPr>
        <w:b/>
        <w:noProof/>
        <w:sz w:val="18"/>
        <w:szCs w:val="18"/>
      </w:rPr>
      <w:drawing>
        <wp:inline distT="0" distB="0" distL="0" distR="0" wp14:anchorId="30D7AEB5" wp14:editId="5B6671DA">
          <wp:extent cx="2026800" cy="676800"/>
          <wp:effectExtent l="0" t="0" r="0" b="9525"/>
          <wp:docPr id="1" name="Picture 1" descr="Logo for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2026800" cy="676800"/>
                  </a:xfrm>
                  <a:prstGeom prst="rect">
                    <a:avLst/>
                  </a:prstGeom>
                </pic:spPr>
              </pic:pic>
            </a:graphicData>
          </a:graphic>
        </wp:inline>
      </w:drawing>
    </w:r>
    <w:r w:rsidR="005707BC">
      <w:rPr>
        <w:rFonts w:ascii="Calibri" w:eastAsia="Calibri" w:hAnsi="Calibri" w:cs="Calibri"/>
        <w:sz w:val="22"/>
      </w:rPr>
      <w:t xml:space="preserve"> </w:t>
    </w:r>
  </w:p>
  <w:p w14:paraId="360D45F8" w14:textId="77777777" w:rsidR="005707BC" w:rsidRDefault="005707BC">
    <w:pPr>
      <w:spacing w:after="0" w:line="259" w:lineRule="auto"/>
      <w:ind w:left="14"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A" w14:textId="77777777" w:rsidR="005707BC" w:rsidRDefault="005707BC">
    <w:pPr>
      <w:spacing w:after="0" w:line="259" w:lineRule="auto"/>
      <w:ind w:left="3082" w:firstLine="0"/>
    </w:pPr>
    <w:r>
      <w:rPr>
        <w:noProof/>
      </w:rPr>
      <w:drawing>
        <wp:inline distT="0" distB="0" distL="0" distR="0" wp14:anchorId="360D4606" wp14:editId="440A998C">
          <wp:extent cx="1296924" cy="65151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96924" cy="651510"/>
                  </a:xfrm>
                  <a:prstGeom prst="rect">
                    <a:avLst/>
                  </a:prstGeom>
                </pic:spPr>
              </pic:pic>
            </a:graphicData>
          </a:graphic>
        </wp:inline>
      </w:drawing>
    </w:r>
    <w:r>
      <w:rPr>
        <w:rFonts w:ascii="Calibri" w:eastAsia="Calibri" w:hAnsi="Calibri" w:cs="Calibri"/>
        <w:sz w:val="22"/>
      </w:rPr>
      <w:t xml:space="preserve">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0D45FB" w14:textId="77777777" w:rsidR="005707BC" w:rsidRDefault="005707BC">
    <w:pPr>
      <w:spacing w:after="0" w:line="259" w:lineRule="auto"/>
      <w:ind w:left="14"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F0D9" w14:textId="1FE2497D" w:rsidR="005707BC" w:rsidRDefault="005707BC" w:rsidP="00FB05A8">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6647E7">
      <w:rPr>
        <w:rFonts w:ascii="Calibri" w:eastAsia="Calibri" w:hAnsi="Calibri" w:cs="Calibri"/>
        <w:noProof/>
        <w:sz w:val="22"/>
      </w:rPr>
      <w:t>17</w:t>
    </w:r>
    <w:r>
      <w:rPr>
        <w:rFonts w:ascii="Calibri" w:eastAsia="Calibri" w:hAnsi="Calibri" w:cs="Calibri"/>
        <w:sz w:val="22"/>
      </w:rPr>
      <w:fldChar w:fldCharType="end"/>
    </w:r>
  </w:p>
  <w:p w14:paraId="424E96B0" w14:textId="77777777" w:rsidR="005707BC" w:rsidRDefault="005707BC">
    <w:pPr>
      <w:spacing w:after="0" w:line="259" w:lineRule="auto"/>
      <w:ind w:left="14"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45EF" w14:textId="77777777" w:rsidR="005707BC" w:rsidRDefault="005707BC">
      <w:pPr>
        <w:spacing w:after="0" w:line="240" w:lineRule="auto"/>
      </w:pPr>
      <w:r>
        <w:separator/>
      </w:r>
    </w:p>
  </w:footnote>
  <w:footnote w:type="continuationSeparator" w:id="0">
    <w:p w14:paraId="360D45F0" w14:textId="77777777" w:rsidR="005707BC" w:rsidRDefault="00570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3" w14:textId="77777777" w:rsidR="005707BC" w:rsidRDefault="005707BC">
    <w:pPr>
      <w:spacing w:after="0" w:line="259" w:lineRule="auto"/>
      <w:ind w:left="14" w:firstLine="0"/>
    </w:pPr>
    <w:r>
      <w:rPr>
        <w:noProof/>
      </w:rPr>
      <w:drawing>
        <wp:inline distT="0" distB="0" distL="0" distR="0" wp14:anchorId="360D45FC" wp14:editId="1220AE63">
          <wp:extent cx="1664335" cy="604431"/>
          <wp:effectExtent l="0" t="0" r="0" b="5715"/>
          <wp:docPr id="22" name="Pictur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64335" cy="604431"/>
                  </a:xfrm>
                  <a:prstGeom prst="rect">
                    <a:avLst/>
                  </a:prstGeom>
                </pic:spPr>
              </pic:pic>
            </a:graphicData>
          </a:graphic>
        </wp:inline>
      </w:drawing>
    </w:r>
    <w:r>
      <w:rPr>
        <w:color w:val="3FA6CC"/>
        <w:sz w:val="20"/>
      </w:rPr>
      <w:t xml:space="preserve"> </w: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4" w14:textId="033A0093" w:rsidR="005707BC" w:rsidRDefault="005707BC" w:rsidP="00FB05A8">
    <w:pPr>
      <w:spacing w:after="0" w:line="259" w:lineRule="auto"/>
      <w:ind w:left="14" w:firstLine="0"/>
      <w:jc w:val="right"/>
    </w:pPr>
    <w:r>
      <w:rPr>
        <w:noProof/>
      </w:rPr>
      <w:drawing>
        <wp:inline distT="0" distB="0" distL="0" distR="0" wp14:anchorId="265C5C9D" wp14:editId="1E4320C0">
          <wp:extent cx="2006011" cy="676800"/>
          <wp:effectExtent l="0" t="0" r="0" b="0"/>
          <wp:docPr id="23" name="Picture 23" descr="Northampton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rthampton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2006011"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9" w14:textId="77777777" w:rsidR="005707BC" w:rsidRDefault="005707BC">
    <w:pPr>
      <w:spacing w:after="0" w:line="259" w:lineRule="auto"/>
      <w:ind w:left="14" w:firstLine="0"/>
    </w:pPr>
    <w:r>
      <w:rPr>
        <w:noProof/>
      </w:rPr>
      <w:drawing>
        <wp:inline distT="0" distB="0" distL="0" distR="0" wp14:anchorId="360D4604" wp14:editId="4EA5B7B9">
          <wp:extent cx="1664335" cy="604431"/>
          <wp:effectExtent l="0" t="0" r="0" b="5715"/>
          <wp:docPr id="26" name="Pictur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64335" cy="604431"/>
                  </a:xfrm>
                  <a:prstGeom prst="rect">
                    <a:avLst/>
                  </a:prstGeom>
                </pic:spPr>
              </pic:pic>
            </a:graphicData>
          </a:graphic>
        </wp:inline>
      </w:drawing>
    </w:r>
    <w:r>
      <w:rPr>
        <w:color w:val="3FA6CC"/>
        <w:sz w:val="20"/>
      </w:rPr>
      <w:t xml:space="preserve"> </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9A0"/>
    <w:multiLevelType w:val="multilevel"/>
    <w:tmpl w:val="B85636A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366C93"/>
    <w:multiLevelType w:val="hybridMultilevel"/>
    <w:tmpl w:val="15582F4E"/>
    <w:lvl w:ilvl="0" w:tplc="11AAEB94">
      <w:start w:val="1"/>
      <w:numFmt w:val="bullet"/>
      <w:lvlText w:val="•"/>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D3EE9A8">
      <w:start w:val="1"/>
      <w:numFmt w:val="bullet"/>
      <w:lvlText w:val="o"/>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F8EFA58">
      <w:start w:val="1"/>
      <w:numFmt w:val="bullet"/>
      <w:lvlText w:val="▪"/>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0D6EBBE">
      <w:start w:val="1"/>
      <w:numFmt w:val="bullet"/>
      <w:lvlText w:val="•"/>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84660AC">
      <w:start w:val="1"/>
      <w:numFmt w:val="bullet"/>
      <w:lvlText w:val="o"/>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C329F38">
      <w:start w:val="1"/>
      <w:numFmt w:val="bullet"/>
      <w:lvlText w:val="▪"/>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BA49124">
      <w:start w:val="1"/>
      <w:numFmt w:val="bullet"/>
      <w:lvlText w:val="•"/>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87475AC">
      <w:start w:val="1"/>
      <w:numFmt w:val="bullet"/>
      <w:lvlText w:val="o"/>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D8AB616">
      <w:start w:val="1"/>
      <w:numFmt w:val="bullet"/>
      <w:lvlText w:val="▪"/>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91E499C"/>
    <w:multiLevelType w:val="hybridMultilevel"/>
    <w:tmpl w:val="6F2672AC"/>
    <w:lvl w:ilvl="0" w:tplc="B7AE0822">
      <w:start w:val="1"/>
      <w:numFmt w:val="decimal"/>
      <w:lvlText w:val="%1."/>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07C5988">
      <w:start w:val="1"/>
      <w:numFmt w:val="lowerLetter"/>
      <w:lvlText w:val="%2."/>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FF8705A">
      <w:start w:val="1"/>
      <w:numFmt w:val="lowerRoman"/>
      <w:lvlText w:val="%3"/>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25E21E8">
      <w:start w:val="1"/>
      <w:numFmt w:val="decimal"/>
      <w:lvlText w:val="%4"/>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384DADE">
      <w:start w:val="1"/>
      <w:numFmt w:val="lowerLetter"/>
      <w:lvlText w:val="%5"/>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F08BD3E">
      <w:start w:val="1"/>
      <w:numFmt w:val="lowerRoman"/>
      <w:lvlText w:val="%6"/>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5AA7292">
      <w:start w:val="1"/>
      <w:numFmt w:val="decimal"/>
      <w:lvlText w:val="%7"/>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924E60E">
      <w:start w:val="1"/>
      <w:numFmt w:val="lowerLetter"/>
      <w:lvlText w:val="%8"/>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B28D7F0">
      <w:start w:val="1"/>
      <w:numFmt w:val="lowerRoman"/>
      <w:lvlText w:val="%9"/>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0343242"/>
    <w:multiLevelType w:val="hybridMultilevel"/>
    <w:tmpl w:val="A4805F80"/>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4" w15:restartNumberingAfterBreak="0">
    <w:nsid w:val="21822C84"/>
    <w:multiLevelType w:val="hybridMultilevel"/>
    <w:tmpl w:val="95EE4448"/>
    <w:lvl w:ilvl="0" w:tplc="7834F062">
      <w:numFmt w:val="bullet"/>
      <w:lvlText w:val=""/>
      <w:lvlJc w:val="left"/>
      <w:pPr>
        <w:ind w:left="734" w:hanging="360"/>
      </w:pPr>
      <w:rPr>
        <w:rFonts w:ascii="Segoe UI Symbol" w:eastAsia="Segoe UI Symbol" w:hAnsi="Segoe UI Symbol" w:cs="Segoe UI 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25B671C3"/>
    <w:multiLevelType w:val="multilevel"/>
    <w:tmpl w:val="08F88C6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8DF2426"/>
    <w:multiLevelType w:val="hybridMultilevel"/>
    <w:tmpl w:val="42FE55A2"/>
    <w:lvl w:ilvl="0" w:tplc="0809000F">
      <w:start w:val="1"/>
      <w:numFmt w:val="decimal"/>
      <w:lvlText w:val="%1."/>
      <w:lvlJc w:val="left"/>
      <w:pPr>
        <w:ind w:left="370" w:hanging="360"/>
      </w:pPr>
      <w:rPr>
        <w:rFonts w:hint="default"/>
      </w:rPr>
    </w:lvl>
    <w:lvl w:ilvl="1" w:tplc="F70C4FBC">
      <w:start w:val="1"/>
      <w:numFmt w:val="upperLetter"/>
      <w:lvlText w:val="%2."/>
      <w:lvlJc w:val="left"/>
      <w:pPr>
        <w:ind w:left="1090" w:hanging="360"/>
      </w:pPr>
      <w:rPr>
        <w:rFonts w:hint="default"/>
      </w:rPr>
    </w:lvl>
    <w:lvl w:ilvl="2" w:tplc="0809001B">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7" w15:restartNumberingAfterBreak="0">
    <w:nsid w:val="34FC6B5A"/>
    <w:multiLevelType w:val="hybridMultilevel"/>
    <w:tmpl w:val="7910C3D8"/>
    <w:lvl w:ilvl="0" w:tplc="7834F062">
      <w:numFmt w:val="bullet"/>
      <w:lvlText w:val=""/>
      <w:lvlJc w:val="left"/>
      <w:pPr>
        <w:ind w:left="1108" w:hanging="360"/>
      </w:pPr>
      <w:rPr>
        <w:rFonts w:ascii="Segoe UI Symbol" w:eastAsia="Segoe UI Symbol" w:hAnsi="Segoe UI Symbol" w:cs="Segoe UI 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8" w15:restartNumberingAfterBreak="0">
    <w:nsid w:val="38251DA2"/>
    <w:multiLevelType w:val="hybridMultilevel"/>
    <w:tmpl w:val="F89E6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93205F"/>
    <w:multiLevelType w:val="multilevel"/>
    <w:tmpl w:val="8BA6F21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DE1F92"/>
    <w:multiLevelType w:val="multilevel"/>
    <w:tmpl w:val="6900A73E"/>
    <w:lvl w:ilvl="0">
      <w:start w:val="1"/>
      <w:numFmt w:val="decimal"/>
      <w:lvlText w:val="%1."/>
      <w:lvlJc w:val="left"/>
      <w:pPr>
        <w:ind w:left="720" w:hanging="720"/>
      </w:pPr>
      <w:rPr>
        <w:rFonts w:hint="default"/>
      </w:rPr>
    </w:lvl>
    <w:lvl w:ilvl="1">
      <w:start w:val="1"/>
      <w:numFmt w:val="decimal"/>
      <w:isLgl/>
      <w:lvlText w:val="%1.%2"/>
      <w:lvlJc w:val="left"/>
      <w:pPr>
        <w:ind w:left="705" w:hanging="705"/>
      </w:pPr>
      <w:rPr>
        <w:rFonts w:hint="default"/>
        <w:b w:val="0"/>
        <w:color w:val="auto"/>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009747E"/>
    <w:multiLevelType w:val="hybridMultilevel"/>
    <w:tmpl w:val="BCC69B02"/>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2" w15:restartNumberingAfterBreak="0">
    <w:nsid w:val="6264585E"/>
    <w:multiLevelType w:val="multilevel"/>
    <w:tmpl w:val="FDB817B8"/>
    <w:lvl w:ilvl="0">
      <w:start w:val="1"/>
      <w:numFmt w:val="decimal"/>
      <w:lvlText w:val="%1."/>
      <w:lvlJc w:val="left"/>
      <w:pPr>
        <w:ind w:left="2859" w:hanging="360"/>
      </w:pPr>
      <w:rPr>
        <w:rFonts w:hint="default"/>
        <w:b/>
      </w:rPr>
    </w:lvl>
    <w:lvl w:ilvl="1">
      <w:start w:val="1"/>
      <w:numFmt w:val="decimal"/>
      <w:lvlText w:val="%1.%2."/>
      <w:lvlJc w:val="left"/>
      <w:pPr>
        <w:ind w:left="3781" w:hanging="432"/>
      </w:pPr>
      <w:rPr>
        <w:rFonts w:ascii="Arial" w:hAnsi="Arial" w:cs="Arial" w:hint="default"/>
        <w:b w:val="0"/>
        <w:sz w:val="24"/>
        <w:szCs w:val="24"/>
      </w:rPr>
    </w:lvl>
    <w:lvl w:ilvl="2">
      <w:start w:val="1"/>
      <w:numFmt w:val="decimal"/>
      <w:lvlText w:val="%1.%2.%3."/>
      <w:lvlJc w:val="left"/>
      <w:pPr>
        <w:ind w:left="2211" w:hanging="504"/>
      </w:pPr>
      <w:rPr>
        <w:b w:val="0"/>
        <w:sz w:val="22"/>
        <w:szCs w:val="22"/>
      </w:rPr>
    </w:lvl>
    <w:lvl w:ilvl="3">
      <w:start w:val="1"/>
      <w:numFmt w:val="decimal"/>
      <w:lvlText w:val="%1.%2.%3.%4."/>
      <w:lvlJc w:val="left"/>
      <w:pPr>
        <w:ind w:left="4227" w:hanging="648"/>
      </w:pPr>
    </w:lvl>
    <w:lvl w:ilvl="4">
      <w:start w:val="1"/>
      <w:numFmt w:val="decimal"/>
      <w:lvlText w:val="%1.%2.%3.%4.%5."/>
      <w:lvlJc w:val="left"/>
      <w:pPr>
        <w:ind w:left="4731" w:hanging="792"/>
      </w:pPr>
    </w:lvl>
    <w:lvl w:ilvl="5">
      <w:start w:val="1"/>
      <w:numFmt w:val="decimal"/>
      <w:lvlText w:val="%1.%2.%3.%4.%5.%6."/>
      <w:lvlJc w:val="left"/>
      <w:pPr>
        <w:ind w:left="5235" w:hanging="936"/>
      </w:pPr>
    </w:lvl>
    <w:lvl w:ilvl="6">
      <w:start w:val="1"/>
      <w:numFmt w:val="decimal"/>
      <w:lvlText w:val="%1.%2.%3.%4.%5.%6.%7."/>
      <w:lvlJc w:val="left"/>
      <w:pPr>
        <w:ind w:left="5739" w:hanging="1080"/>
      </w:pPr>
    </w:lvl>
    <w:lvl w:ilvl="7">
      <w:start w:val="1"/>
      <w:numFmt w:val="decimal"/>
      <w:lvlText w:val="%1.%2.%3.%4.%5.%6.%7.%8."/>
      <w:lvlJc w:val="left"/>
      <w:pPr>
        <w:ind w:left="6243" w:hanging="1224"/>
      </w:pPr>
    </w:lvl>
    <w:lvl w:ilvl="8">
      <w:start w:val="1"/>
      <w:numFmt w:val="decimal"/>
      <w:lvlText w:val="%1.%2.%3.%4.%5.%6.%7.%8.%9."/>
      <w:lvlJc w:val="left"/>
      <w:pPr>
        <w:ind w:left="6819" w:hanging="1440"/>
      </w:pPr>
    </w:lvl>
  </w:abstractNum>
  <w:abstractNum w:abstractNumId="13" w15:restartNumberingAfterBreak="0">
    <w:nsid w:val="62BC0943"/>
    <w:multiLevelType w:val="hybridMultilevel"/>
    <w:tmpl w:val="DF069A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001D21"/>
    <w:multiLevelType w:val="hybridMultilevel"/>
    <w:tmpl w:val="449ECEBC"/>
    <w:lvl w:ilvl="0" w:tplc="9028D926">
      <w:start w:val="1"/>
      <w:numFmt w:val="bullet"/>
      <w:lvlText w:val="•"/>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E8AAC96">
      <w:start w:val="1"/>
      <w:numFmt w:val="bullet"/>
      <w:lvlText w:val="o"/>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A7884A4">
      <w:start w:val="1"/>
      <w:numFmt w:val="bullet"/>
      <w:lvlText w:val="▪"/>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04EE7CC">
      <w:start w:val="1"/>
      <w:numFmt w:val="bullet"/>
      <w:lvlText w:val="•"/>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32E3108">
      <w:start w:val="1"/>
      <w:numFmt w:val="bullet"/>
      <w:lvlText w:val="o"/>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688AFCE">
      <w:start w:val="1"/>
      <w:numFmt w:val="bullet"/>
      <w:lvlText w:val="▪"/>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C007DB0">
      <w:start w:val="1"/>
      <w:numFmt w:val="bullet"/>
      <w:lvlText w:val="•"/>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0A4A53C">
      <w:start w:val="1"/>
      <w:numFmt w:val="bullet"/>
      <w:lvlText w:val="o"/>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946F80">
      <w:start w:val="1"/>
      <w:numFmt w:val="bullet"/>
      <w:lvlText w:val="▪"/>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6C3B581B"/>
    <w:multiLevelType w:val="hybridMultilevel"/>
    <w:tmpl w:val="988CC62C"/>
    <w:lvl w:ilvl="0" w:tplc="100CF8BC">
      <w:start w:val="1"/>
      <w:numFmt w:val="bullet"/>
      <w:lvlText w:val="•"/>
      <w:lvlJc w:val="left"/>
      <w:pPr>
        <w:ind w:left="566"/>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D8C46A6E">
      <w:start w:val="1"/>
      <w:numFmt w:val="bullet"/>
      <w:lvlText w:val="o"/>
      <w:lvlJc w:val="left"/>
      <w:pPr>
        <w:ind w:left="109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2" w:tplc="6B5C0544">
      <w:start w:val="1"/>
      <w:numFmt w:val="bullet"/>
      <w:lvlText w:val="▪"/>
      <w:lvlJc w:val="left"/>
      <w:pPr>
        <w:ind w:left="181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3" w:tplc="6964C3B6">
      <w:start w:val="1"/>
      <w:numFmt w:val="bullet"/>
      <w:lvlText w:val="•"/>
      <w:lvlJc w:val="left"/>
      <w:pPr>
        <w:ind w:left="253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C8F29F62">
      <w:start w:val="1"/>
      <w:numFmt w:val="bullet"/>
      <w:lvlText w:val="o"/>
      <w:lvlJc w:val="left"/>
      <w:pPr>
        <w:ind w:left="325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5" w:tplc="13A88FF0">
      <w:start w:val="1"/>
      <w:numFmt w:val="bullet"/>
      <w:lvlText w:val="▪"/>
      <w:lvlJc w:val="left"/>
      <w:pPr>
        <w:ind w:left="397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6" w:tplc="968E302E">
      <w:start w:val="1"/>
      <w:numFmt w:val="bullet"/>
      <w:lvlText w:val="•"/>
      <w:lvlJc w:val="left"/>
      <w:pPr>
        <w:ind w:left="469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AC8E513C">
      <w:start w:val="1"/>
      <w:numFmt w:val="bullet"/>
      <w:lvlText w:val="o"/>
      <w:lvlJc w:val="left"/>
      <w:pPr>
        <w:ind w:left="541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8" w:tplc="E95C1600">
      <w:start w:val="1"/>
      <w:numFmt w:val="bullet"/>
      <w:lvlText w:val="▪"/>
      <w:lvlJc w:val="left"/>
      <w:pPr>
        <w:ind w:left="613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abstractNum>
  <w:num w:numId="1" w16cid:durableId="207113053">
    <w:abstractNumId w:val="2"/>
  </w:num>
  <w:num w:numId="2" w16cid:durableId="221870263">
    <w:abstractNumId w:val="14"/>
  </w:num>
  <w:num w:numId="3" w16cid:durableId="780959177">
    <w:abstractNumId w:val="1"/>
  </w:num>
  <w:num w:numId="4" w16cid:durableId="834959084">
    <w:abstractNumId w:val="15"/>
  </w:num>
  <w:num w:numId="5" w16cid:durableId="601032642">
    <w:abstractNumId w:val="11"/>
  </w:num>
  <w:num w:numId="6" w16cid:durableId="2064669699">
    <w:abstractNumId w:val="4"/>
  </w:num>
  <w:num w:numId="7" w16cid:durableId="1980065932">
    <w:abstractNumId w:val="7"/>
  </w:num>
  <w:num w:numId="8" w16cid:durableId="1658876874">
    <w:abstractNumId w:val="3"/>
  </w:num>
  <w:num w:numId="9" w16cid:durableId="1865630849">
    <w:abstractNumId w:val="5"/>
  </w:num>
  <w:num w:numId="10" w16cid:durableId="387996486">
    <w:abstractNumId w:val="8"/>
  </w:num>
  <w:num w:numId="11" w16cid:durableId="40328273">
    <w:abstractNumId w:val="13"/>
  </w:num>
  <w:num w:numId="12" w16cid:durableId="2033534197">
    <w:abstractNumId w:val="6"/>
  </w:num>
  <w:num w:numId="13" w16cid:durableId="71464311">
    <w:abstractNumId w:val="9"/>
  </w:num>
  <w:num w:numId="14" w16cid:durableId="1656951962">
    <w:abstractNumId w:val="0"/>
  </w:num>
  <w:num w:numId="15" w16cid:durableId="1423067465">
    <w:abstractNumId w:val="10"/>
  </w:num>
  <w:num w:numId="16" w16cid:durableId="17194281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63"/>
    <w:rsid w:val="0000701B"/>
    <w:rsid w:val="00027CC4"/>
    <w:rsid w:val="00051E25"/>
    <w:rsid w:val="00052FE2"/>
    <w:rsid w:val="0006746A"/>
    <w:rsid w:val="00077022"/>
    <w:rsid w:val="000A543E"/>
    <w:rsid w:val="000B163D"/>
    <w:rsid w:val="000D3350"/>
    <w:rsid w:val="000E2954"/>
    <w:rsid w:val="00111EEF"/>
    <w:rsid w:val="001176A4"/>
    <w:rsid w:val="00150C2E"/>
    <w:rsid w:val="00154E72"/>
    <w:rsid w:val="00176EA5"/>
    <w:rsid w:val="00195F05"/>
    <w:rsid w:val="001A277A"/>
    <w:rsid w:val="001A533D"/>
    <w:rsid w:val="001D1B1D"/>
    <w:rsid w:val="001E2614"/>
    <w:rsid w:val="0020005A"/>
    <w:rsid w:val="00203441"/>
    <w:rsid w:val="00220915"/>
    <w:rsid w:val="0022776F"/>
    <w:rsid w:val="00242C8C"/>
    <w:rsid w:val="00243D34"/>
    <w:rsid w:val="002A5BF9"/>
    <w:rsid w:val="002D1DCC"/>
    <w:rsid w:val="002D4983"/>
    <w:rsid w:val="002E29A6"/>
    <w:rsid w:val="002E2B9A"/>
    <w:rsid w:val="002F7FC6"/>
    <w:rsid w:val="00304599"/>
    <w:rsid w:val="0031324E"/>
    <w:rsid w:val="00350CE7"/>
    <w:rsid w:val="00355A53"/>
    <w:rsid w:val="00360C74"/>
    <w:rsid w:val="003624D6"/>
    <w:rsid w:val="00383348"/>
    <w:rsid w:val="003868F5"/>
    <w:rsid w:val="003B5721"/>
    <w:rsid w:val="003C089D"/>
    <w:rsid w:val="003C417F"/>
    <w:rsid w:val="003C7A1F"/>
    <w:rsid w:val="003D4BEE"/>
    <w:rsid w:val="00402714"/>
    <w:rsid w:val="0043719C"/>
    <w:rsid w:val="00440AD7"/>
    <w:rsid w:val="00446B69"/>
    <w:rsid w:val="004604D8"/>
    <w:rsid w:val="00490807"/>
    <w:rsid w:val="00495826"/>
    <w:rsid w:val="004B50B9"/>
    <w:rsid w:val="004D0387"/>
    <w:rsid w:val="004E1A44"/>
    <w:rsid w:val="00504488"/>
    <w:rsid w:val="00516AC0"/>
    <w:rsid w:val="005338F0"/>
    <w:rsid w:val="00543151"/>
    <w:rsid w:val="00545FE5"/>
    <w:rsid w:val="00550177"/>
    <w:rsid w:val="00550CE5"/>
    <w:rsid w:val="00555ED0"/>
    <w:rsid w:val="0056525E"/>
    <w:rsid w:val="00567D40"/>
    <w:rsid w:val="005707BC"/>
    <w:rsid w:val="005B7581"/>
    <w:rsid w:val="005C2F2F"/>
    <w:rsid w:val="005D2012"/>
    <w:rsid w:val="005D6CBC"/>
    <w:rsid w:val="005E43EF"/>
    <w:rsid w:val="005E4B6E"/>
    <w:rsid w:val="005F63CA"/>
    <w:rsid w:val="005F685E"/>
    <w:rsid w:val="00603AF6"/>
    <w:rsid w:val="00606510"/>
    <w:rsid w:val="00654B04"/>
    <w:rsid w:val="006647E7"/>
    <w:rsid w:val="00665E57"/>
    <w:rsid w:val="006B029B"/>
    <w:rsid w:val="006B3163"/>
    <w:rsid w:val="006C228F"/>
    <w:rsid w:val="006C5F66"/>
    <w:rsid w:val="006D6792"/>
    <w:rsid w:val="006E2DDC"/>
    <w:rsid w:val="006E3FD3"/>
    <w:rsid w:val="006E5AF0"/>
    <w:rsid w:val="006F463E"/>
    <w:rsid w:val="007025AB"/>
    <w:rsid w:val="0072694E"/>
    <w:rsid w:val="00736AEE"/>
    <w:rsid w:val="00740D58"/>
    <w:rsid w:val="0076527E"/>
    <w:rsid w:val="0078021E"/>
    <w:rsid w:val="00791703"/>
    <w:rsid w:val="00792805"/>
    <w:rsid w:val="00793E2C"/>
    <w:rsid w:val="00794F2A"/>
    <w:rsid w:val="007A6584"/>
    <w:rsid w:val="007F111F"/>
    <w:rsid w:val="00802AC1"/>
    <w:rsid w:val="008140CA"/>
    <w:rsid w:val="0083087B"/>
    <w:rsid w:val="0083678E"/>
    <w:rsid w:val="00837FF3"/>
    <w:rsid w:val="00843860"/>
    <w:rsid w:val="00855112"/>
    <w:rsid w:val="008963AC"/>
    <w:rsid w:val="008B2EFD"/>
    <w:rsid w:val="008B790F"/>
    <w:rsid w:val="008D7EFB"/>
    <w:rsid w:val="008E1739"/>
    <w:rsid w:val="008E342F"/>
    <w:rsid w:val="008E73E9"/>
    <w:rsid w:val="008F0828"/>
    <w:rsid w:val="0090248E"/>
    <w:rsid w:val="0091350F"/>
    <w:rsid w:val="0091523C"/>
    <w:rsid w:val="00943504"/>
    <w:rsid w:val="0095046F"/>
    <w:rsid w:val="00952BB1"/>
    <w:rsid w:val="009655C8"/>
    <w:rsid w:val="009A374E"/>
    <w:rsid w:val="009B09BC"/>
    <w:rsid w:val="009D7553"/>
    <w:rsid w:val="009E3560"/>
    <w:rsid w:val="00A25AC5"/>
    <w:rsid w:val="00A276FC"/>
    <w:rsid w:val="00A415ED"/>
    <w:rsid w:val="00A50535"/>
    <w:rsid w:val="00A676A2"/>
    <w:rsid w:val="00A67C57"/>
    <w:rsid w:val="00A73E98"/>
    <w:rsid w:val="00A83B20"/>
    <w:rsid w:val="00AB2E11"/>
    <w:rsid w:val="00AB37C2"/>
    <w:rsid w:val="00AC72BE"/>
    <w:rsid w:val="00AD4AF5"/>
    <w:rsid w:val="00AF1F0E"/>
    <w:rsid w:val="00B415F6"/>
    <w:rsid w:val="00B4349F"/>
    <w:rsid w:val="00B47595"/>
    <w:rsid w:val="00B74496"/>
    <w:rsid w:val="00BC0377"/>
    <w:rsid w:val="00BC2560"/>
    <w:rsid w:val="00BC41CF"/>
    <w:rsid w:val="00BD1C5A"/>
    <w:rsid w:val="00BF7C09"/>
    <w:rsid w:val="00C07070"/>
    <w:rsid w:val="00C11D95"/>
    <w:rsid w:val="00C30974"/>
    <w:rsid w:val="00C31EBC"/>
    <w:rsid w:val="00C41826"/>
    <w:rsid w:val="00C52DFE"/>
    <w:rsid w:val="00C73FC3"/>
    <w:rsid w:val="00C815C5"/>
    <w:rsid w:val="00CA150F"/>
    <w:rsid w:val="00CB67C9"/>
    <w:rsid w:val="00CE7928"/>
    <w:rsid w:val="00D041AB"/>
    <w:rsid w:val="00D30FFA"/>
    <w:rsid w:val="00D3186A"/>
    <w:rsid w:val="00D34270"/>
    <w:rsid w:val="00D34AEA"/>
    <w:rsid w:val="00D40312"/>
    <w:rsid w:val="00D75155"/>
    <w:rsid w:val="00D80523"/>
    <w:rsid w:val="00DA678F"/>
    <w:rsid w:val="00DB15E6"/>
    <w:rsid w:val="00DB42D6"/>
    <w:rsid w:val="00DD4258"/>
    <w:rsid w:val="00DD7DB5"/>
    <w:rsid w:val="00DE39A6"/>
    <w:rsid w:val="00E01B79"/>
    <w:rsid w:val="00E215DF"/>
    <w:rsid w:val="00E219C7"/>
    <w:rsid w:val="00E230F1"/>
    <w:rsid w:val="00E27E40"/>
    <w:rsid w:val="00E572B6"/>
    <w:rsid w:val="00E609C7"/>
    <w:rsid w:val="00E80582"/>
    <w:rsid w:val="00E839DF"/>
    <w:rsid w:val="00EA05D5"/>
    <w:rsid w:val="00EA0BF3"/>
    <w:rsid w:val="00EA2FE7"/>
    <w:rsid w:val="00EA3510"/>
    <w:rsid w:val="00EC1DEC"/>
    <w:rsid w:val="00ED4FE8"/>
    <w:rsid w:val="00EF5C3D"/>
    <w:rsid w:val="00F258E8"/>
    <w:rsid w:val="00F2591A"/>
    <w:rsid w:val="00F40406"/>
    <w:rsid w:val="00F75985"/>
    <w:rsid w:val="00FA035B"/>
    <w:rsid w:val="00FA6303"/>
    <w:rsid w:val="00FB05A8"/>
    <w:rsid w:val="00FC3638"/>
    <w:rsid w:val="00FE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60D4491"/>
  <w15:docId w15:val="{D8B2EC9F-F495-40E4-B6B8-14BA3D3C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8" w:lineRule="auto"/>
      <w:ind w:left="10"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58"/>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unhideWhenUsed/>
    <w:qFormat/>
    <w:rsid w:val="001A53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53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Layer 1 Bullet,Layer1_Bullet,List Paragraph_WEIL"/>
    <w:basedOn w:val="Normal"/>
    <w:uiPriority w:val="34"/>
    <w:qFormat/>
    <w:rsid w:val="00D75155"/>
    <w:pPr>
      <w:ind w:left="720"/>
      <w:contextualSpacing/>
    </w:pPr>
  </w:style>
  <w:style w:type="paragraph" w:styleId="BalloonText">
    <w:name w:val="Balloon Text"/>
    <w:basedOn w:val="Normal"/>
    <w:link w:val="BalloonTextChar"/>
    <w:uiPriority w:val="99"/>
    <w:semiHidden/>
    <w:unhideWhenUsed/>
    <w:rsid w:val="00027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CC4"/>
    <w:rPr>
      <w:rFonts w:ascii="Segoe UI" w:eastAsia="Arial" w:hAnsi="Segoe UI" w:cs="Segoe UI"/>
      <w:color w:val="000000"/>
      <w:sz w:val="18"/>
      <w:szCs w:val="18"/>
    </w:rPr>
  </w:style>
  <w:style w:type="paragraph" w:styleId="Revision">
    <w:name w:val="Revision"/>
    <w:hidden/>
    <w:uiPriority w:val="99"/>
    <w:semiHidden/>
    <w:rsid w:val="00543151"/>
    <w:pPr>
      <w:spacing w:after="0" w:line="240" w:lineRule="auto"/>
    </w:pPr>
    <w:rPr>
      <w:rFonts w:ascii="Arial" w:eastAsia="Arial" w:hAnsi="Arial" w:cs="Arial"/>
      <w:color w:val="000000"/>
      <w:sz w:val="23"/>
    </w:rPr>
  </w:style>
  <w:style w:type="character" w:styleId="Hyperlink">
    <w:name w:val="Hyperlink"/>
    <w:basedOn w:val="DefaultParagraphFont"/>
    <w:uiPriority w:val="99"/>
    <w:unhideWhenUsed/>
    <w:rsid w:val="00855112"/>
    <w:rPr>
      <w:color w:val="0563C1" w:themeColor="hyperlink"/>
      <w:u w:val="single"/>
    </w:rPr>
  </w:style>
  <w:style w:type="table" w:styleId="TableGrid0">
    <w:name w:val="Table Grid"/>
    <w:basedOn w:val="TableNormal"/>
    <w:uiPriority w:val="39"/>
    <w:rsid w:val="008551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53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A533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A276FC"/>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3">
    <w:name w:val="toc 3"/>
    <w:basedOn w:val="Normal"/>
    <w:next w:val="Normal"/>
    <w:autoRedefine/>
    <w:uiPriority w:val="39"/>
    <w:unhideWhenUsed/>
    <w:rsid w:val="00A276FC"/>
    <w:pPr>
      <w:spacing w:after="100"/>
      <w:ind w:left="460"/>
    </w:pPr>
  </w:style>
  <w:style w:type="paragraph" w:styleId="TOC1">
    <w:name w:val="toc 1"/>
    <w:basedOn w:val="Normal"/>
    <w:next w:val="Normal"/>
    <w:autoRedefine/>
    <w:uiPriority w:val="39"/>
    <w:unhideWhenUsed/>
    <w:rsid w:val="00A276FC"/>
    <w:pPr>
      <w:spacing w:after="100"/>
      <w:ind w:left="0"/>
    </w:pPr>
  </w:style>
  <w:style w:type="paragraph" w:styleId="TOC2">
    <w:name w:val="toc 2"/>
    <w:basedOn w:val="Normal"/>
    <w:next w:val="Normal"/>
    <w:autoRedefine/>
    <w:uiPriority w:val="39"/>
    <w:unhideWhenUsed/>
    <w:rsid w:val="00A276FC"/>
    <w:pPr>
      <w:spacing w:after="100"/>
      <w:ind w:left="230"/>
    </w:pPr>
  </w:style>
  <w:style w:type="paragraph" w:styleId="Footer">
    <w:name w:val="footer"/>
    <w:basedOn w:val="Normal"/>
    <w:link w:val="FooterChar"/>
    <w:uiPriority w:val="99"/>
    <w:unhideWhenUsed/>
    <w:rsid w:val="00FB0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5A8"/>
    <w:rPr>
      <w:rFonts w:ascii="Arial" w:eastAsia="Arial" w:hAnsi="Arial" w:cs="Arial"/>
      <w:color w:val="000000"/>
      <w:sz w:val="23"/>
    </w:rPr>
  </w:style>
  <w:style w:type="character" w:styleId="CommentReference">
    <w:name w:val="annotation reference"/>
    <w:basedOn w:val="DefaultParagraphFont"/>
    <w:uiPriority w:val="99"/>
    <w:semiHidden/>
    <w:unhideWhenUsed/>
    <w:rsid w:val="0083678E"/>
    <w:rPr>
      <w:sz w:val="16"/>
      <w:szCs w:val="16"/>
    </w:rPr>
  </w:style>
  <w:style w:type="paragraph" w:styleId="CommentText">
    <w:name w:val="annotation text"/>
    <w:basedOn w:val="Normal"/>
    <w:link w:val="CommentTextChar"/>
    <w:uiPriority w:val="99"/>
    <w:semiHidden/>
    <w:unhideWhenUsed/>
    <w:rsid w:val="0083678E"/>
    <w:pPr>
      <w:spacing w:line="240" w:lineRule="auto"/>
    </w:pPr>
    <w:rPr>
      <w:sz w:val="20"/>
      <w:szCs w:val="20"/>
    </w:rPr>
  </w:style>
  <w:style w:type="character" w:customStyle="1" w:styleId="CommentTextChar">
    <w:name w:val="Comment Text Char"/>
    <w:basedOn w:val="DefaultParagraphFont"/>
    <w:link w:val="CommentText"/>
    <w:uiPriority w:val="99"/>
    <w:semiHidden/>
    <w:rsid w:val="008367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678E"/>
    <w:rPr>
      <w:b/>
      <w:bCs/>
    </w:rPr>
  </w:style>
  <w:style w:type="character" w:customStyle="1" w:styleId="CommentSubjectChar">
    <w:name w:val="Comment Subject Char"/>
    <w:basedOn w:val="CommentTextChar"/>
    <w:link w:val="CommentSubject"/>
    <w:uiPriority w:val="99"/>
    <w:semiHidden/>
    <w:rsid w:val="0083678E"/>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545FE5"/>
    <w:rPr>
      <w:color w:val="954F72" w:themeColor="followedHyperlink"/>
      <w:u w:val="single"/>
    </w:rPr>
  </w:style>
  <w:style w:type="character" w:styleId="UnresolvedMention">
    <w:name w:val="Unresolved Mention"/>
    <w:basedOn w:val="DefaultParagraphFont"/>
    <w:uiPriority w:val="99"/>
    <w:semiHidden/>
    <w:unhideWhenUsed/>
    <w:rsid w:val="00E5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77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ensions.northamptonshire.gov.uk/wp-content/uploads/2016/12/CambridgeshireFundingStrategyStatement2016.pdf"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http://pensions.northamptonshire.gov.uk/wp-content/uploads/2015/08/CPF-Governance-Policy-and-Compliance-Statement-June-2015.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ensions.westnorthants.gov.uk/app/uploads/2023/11/NPFFundingStrategyStatementFinal_2022.docx" TargetMode="External"/><Relationship Id="rId25" Type="http://schemas.openxmlformats.org/officeDocument/2006/relationships/hyperlink" Target="http://pensions.northamptonshire.gov.uk/wp-content/uploads/2015/08/CPF-Governance-Policy-and-Compliance-Statement-June-2015.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ensions.northamptonshire.gov.uk/wp-content/uploads/2015/08/CPF-Governance-Policy-and-Compliance-Statement-June-2015.pdf" TargetMode="External"/><Relationship Id="rId29" Type="http://schemas.openxmlformats.org/officeDocument/2006/relationships/hyperlink" Target="https://lapfforu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ensions.northamptonshire.gov.uk/wp-content/uploads/2015/08/CPF-Governance-Policy-and-Compliance-Statement-June-2015.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ensions.northamptonshire.gov.uk/wp-content/uploads/2015/08/CPF-Governance-Policy-and-Compliance-Statement-June-2015.pdf" TargetMode="External"/><Relationship Id="rId28" Type="http://schemas.openxmlformats.org/officeDocument/2006/relationships/hyperlink" Target="https://pensions.cambridgeshire.gov.uk/governance/key-documents/northamptonshire/" TargetMode="External"/><Relationship Id="rId10" Type="http://schemas.openxmlformats.org/officeDocument/2006/relationships/endnotes" Target="endnotes.xml"/><Relationship Id="rId19" Type="http://schemas.openxmlformats.org/officeDocument/2006/relationships/hyperlink" Target="http://pensions.northamptonshire.gov.uk/wp-content/uploads/2015/08/CPF-Governance-Policy-and-Compliance-Statement-June-2015.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ensions.northamptonshire.gov.uk/wp-content/uploads/2015/08/CPF-Governance-Policy-and-Compliance-Statement-June-2015.pdf" TargetMode="External"/><Relationship Id="rId27" Type="http://schemas.openxmlformats.org/officeDocument/2006/relationships/hyperlink" Target="https://www.accesspool.org/" TargetMode="Externa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Linkage of strategic asset allocation to each investment risk factor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Sheet1!$B$52</c:f>
              <c:strCache>
                <c:ptCount val="1"/>
                <c:pt idx="0">
                  <c:v>Direct linkage</c:v>
                </c:pt>
              </c:strCache>
            </c:strRef>
          </c:tx>
          <c:spPr>
            <a:solidFill>
              <a:schemeClr val="accent1">
                <a:lumMod val="75000"/>
              </a:schemeClr>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Sheet1!$C$51:$H$51</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Sheet1!$C$52:$H$52</c:f>
              <c:numCache>
                <c:formatCode>0.0%</c:formatCode>
                <c:ptCount val="6"/>
                <c:pt idx="0">
                  <c:v>0.3</c:v>
                </c:pt>
                <c:pt idx="1">
                  <c:v>0.3</c:v>
                </c:pt>
                <c:pt idx="2">
                  <c:v>0.7</c:v>
                </c:pt>
                <c:pt idx="3">
                  <c:v>0.57499999999999996</c:v>
                </c:pt>
                <c:pt idx="4">
                  <c:v>0.72499999999999998</c:v>
                </c:pt>
                <c:pt idx="5">
                  <c:v>0.85</c:v>
                </c:pt>
              </c:numCache>
            </c:numRef>
          </c:val>
          <c:extLst>
            <c:ext xmlns:c16="http://schemas.microsoft.com/office/drawing/2014/chart" uri="{C3380CC4-5D6E-409C-BE32-E72D297353CC}">
              <c16:uniqueId val="{00000000-2A57-42AD-AB87-59BDB3F2A833}"/>
            </c:ext>
          </c:extLst>
        </c:ser>
        <c:ser>
          <c:idx val="1"/>
          <c:order val="1"/>
          <c:tx>
            <c:strRef>
              <c:f>Sheet1!$B$53</c:f>
              <c:strCache>
                <c:ptCount val="1"/>
                <c:pt idx="0">
                  <c:v>Indirect linkage</c:v>
                </c:pt>
              </c:strCache>
            </c:strRef>
          </c:tx>
          <c:spPr>
            <a:pattFill prst="wdUpDiag">
              <a:fgClr>
                <a:schemeClr val="accent1"/>
              </a:fgClr>
              <a:bgClr>
                <a:schemeClr val="bg1"/>
              </a:bgClr>
            </a:patt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Sheet1!$C$51:$H$51</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Sheet1!$C$53:$H$53</c:f>
              <c:numCache>
                <c:formatCode>General</c:formatCode>
                <c:ptCount val="6"/>
                <c:pt idx="0" formatCode="0.0%">
                  <c:v>0.42499999999999999</c:v>
                </c:pt>
              </c:numCache>
            </c:numRef>
          </c:val>
          <c:extLst>
            <c:ext xmlns:c16="http://schemas.microsoft.com/office/drawing/2014/chart" uri="{C3380CC4-5D6E-409C-BE32-E72D297353CC}">
              <c16:uniqueId val="{00000001-2A57-42AD-AB87-59BDB3F2A833}"/>
            </c:ext>
          </c:extLst>
        </c:ser>
        <c:ser>
          <c:idx val="2"/>
          <c:order val="2"/>
          <c:tx>
            <c:strRef>
              <c:f>Sheet1!$B$54</c:f>
              <c:strCache>
                <c:ptCount val="1"/>
                <c:pt idx="0">
                  <c:v>Some</c:v>
                </c:pt>
              </c:strCache>
            </c:strRef>
          </c:tx>
          <c:spPr>
            <a:solidFill>
              <a:schemeClr val="accent1">
                <a:tint val="86000"/>
              </a:schemeClr>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Sheet1!$C$51:$H$51</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Sheet1!$C$54:$H$54</c:f>
              <c:numCache>
                <c:formatCode>General</c:formatCode>
                <c:ptCount val="6"/>
                <c:pt idx="0" formatCode="0.0%">
                  <c:v>0.125</c:v>
                </c:pt>
                <c:pt idx="2" formatCode="0.0%">
                  <c:v>0.15</c:v>
                </c:pt>
              </c:numCache>
            </c:numRef>
          </c:val>
          <c:extLst>
            <c:ext xmlns:c16="http://schemas.microsoft.com/office/drawing/2014/chart" uri="{C3380CC4-5D6E-409C-BE32-E72D297353CC}">
              <c16:uniqueId val="{00000002-2A57-42AD-AB87-59BDB3F2A833}"/>
            </c:ext>
          </c:extLst>
        </c:ser>
        <c:ser>
          <c:idx val="3"/>
          <c:order val="3"/>
          <c:tx>
            <c:strRef>
              <c:f>Sheet1!$B$55</c:f>
              <c:strCache>
                <c:ptCount val="1"/>
                <c:pt idx="0">
                  <c:v>No linkage</c:v>
                </c:pt>
              </c:strCache>
            </c:strRef>
          </c:tx>
          <c:spPr>
            <a:solidFill>
              <a:schemeClr val="bg1"/>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Sheet1!$C$51:$H$51</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Sheet1!$C$55:$H$55</c:f>
              <c:numCache>
                <c:formatCode>0.0%</c:formatCode>
                <c:ptCount val="6"/>
                <c:pt idx="0">
                  <c:v>0.15</c:v>
                </c:pt>
                <c:pt idx="1">
                  <c:v>0.7</c:v>
                </c:pt>
                <c:pt idx="2">
                  <c:v>0.15</c:v>
                </c:pt>
                <c:pt idx="3">
                  <c:v>0.42499999999999999</c:v>
                </c:pt>
                <c:pt idx="4">
                  <c:v>0.27500000000000002</c:v>
                </c:pt>
                <c:pt idx="5">
                  <c:v>0.15</c:v>
                </c:pt>
              </c:numCache>
            </c:numRef>
          </c:val>
          <c:extLst>
            <c:ext xmlns:c16="http://schemas.microsoft.com/office/drawing/2014/chart" uri="{C3380CC4-5D6E-409C-BE32-E72D297353CC}">
              <c16:uniqueId val="{00000003-2A57-42AD-AB87-59BDB3F2A833}"/>
            </c:ext>
          </c:extLst>
        </c:ser>
        <c:dLbls>
          <c:dLblPos val="ctr"/>
          <c:showLegendKey val="0"/>
          <c:showVal val="1"/>
          <c:showCatName val="0"/>
          <c:showSerName val="0"/>
          <c:showPercent val="0"/>
          <c:showBubbleSize val="0"/>
        </c:dLbls>
        <c:gapWidth val="150"/>
        <c:overlap val="100"/>
        <c:axId val="654022744"/>
        <c:axId val="654023400"/>
      </c:barChart>
      <c:catAx>
        <c:axId val="65402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023400"/>
        <c:crosses val="autoZero"/>
        <c:auto val="1"/>
        <c:lblAlgn val="ctr"/>
        <c:lblOffset val="100"/>
        <c:noMultiLvlLbl val="0"/>
      </c:catAx>
      <c:valAx>
        <c:axId val="654023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ASSETS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022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B9CBD-073E-4D4E-99D1-9D7CE776D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0E809-A1B3-447B-AE9E-A90E7B0DA9B7}">
  <ds:schemaRefs>
    <ds:schemaRef ds:uri="e959ac68-712d-4d14-b01b-edf685deb306"/>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5f08f1fb-8c34-44d6-a8d5-778f680b1754"/>
    <ds:schemaRef ds:uri="903da782-ff01-4eb6-bfb8-7fab1db7d2c8"/>
  </ds:schemaRefs>
</ds:datastoreItem>
</file>

<file path=customXml/itemProps3.xml><?xml version="1.0" encoding="utf-8"?>
<ds:datastoreItem xmlns:ds="http://schemas.openxmlformats.org/officeDocument/2006/customXml" ds:itemID="{97F38FC3-0407-477F-AC19-A93F1EA1C3ED}">
  <ds:schemaRefs>
    <ds:schemaRef ds:uri="http://schemas.openxmlformats.org/officeDocument/2006/bibliography"/>
  </ds:schemaRefs>
</ds:datastoreItem>
</file>

<file path=customXml/itemProps4.xml><?xml version="1.0" encoding="utf-8"?>
<ds:datastoreItem xmlns:ds="http://schemas.openxmlformats.org/officeDocument/2006/customXml" ds:itemID="{13001331-AE34-4399-8C66-BC0100F9A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6599</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211215_AgendaItemNoXX_Investment_Strategy_Statement_Appendix_NPF</vt:lpstr>
    </vt:vector>
  </TitlesOfParts>
  <Company>Northants County Council</Company>
  <LinksUpToDate>false</LinksUpToDate>
  <CharactersWithSpaces>44126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211215_AgendaItemNoXX_Investment_Strategy_Statement_Appendix_NPF</dc:title>
  <dc:subject/>
  <dc:creator>Rebecca Craddock-Taylor</dc:creator>
  <cp:keywords/>
  <cp:lastModifiedBy>Sharon Grimshaw</cp:lastModifiedBy>
  <cp:revision>2</cp:revision>
  <dcterms:created xsi:type="dcterms:W3CDTF">2024-10-22T13:22:00Z</dcterms:created>
  <dcterms:modified xsi:type="dcterms:W3CDTF">2024-10-22T13:22:00Z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