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6E7425FF" w:rsidR="00A25BAB" w:rsidRDefault="00A25BAB" w:rsidP="00E872B1">
      <w:pPr>
        <w:spacing w:after="0"/>
        <w:rPr>
          <w:b/>
          <w:sz w:val="26"/>
          <w:szCs w:val="26"/>
        </w:rPr>
      </w:pPr>
    </w:p>
    <w:p w14:paraId="7C53749D" w14:textId="77777777" w:rsidR="002D54E6" w:rsidRDefault="002D54E6" w:rsidP="002D54E6">
      <w:pPr>
        <w:spacing w:after="360"/>
        <w:jc w:val="center"/>
        <w:rPr>
          <w:rFonts w:cstheme="minorHAnsi"/>
          <w:color w:val="61207F"/>
          <w:sz w:val="72"/>
          <w:szCs w:val="72"/>
        </w:rPr>
      </w:pPr>
    </w:p>
    <w:p w14:paraId="09E58A38" w14:textId="77777777" w:rsidR="003D562D" w:rsidRDefault="003D562D" w:rsidP="002F1A99">
      <w:pPr>
        <w:spacing w:after="360"/>
        <w:jc w:val="center"/>
        <w:rPr>
          <w:color w:val="61207F"/>
          <w:sz w:val="72"/>
          <w:szCs w:val="72"/>
        </w:rPr>
      </w:pPr>
    </w:p>
    <w:p w14:paraId="375DCCA6" w14:textId="484D237E" w:rsidR="002F1A99" w:rsidRPr="00C07F3A" w:rsidRDefault="00AE3F19" w:rsidP="001E179F">
      <w:pPr>
        <w:pStyle w:val="Title"/>
      </w:pPr>
      <w:r w:rsidRPr="00C07F3A">
        <w:t>Fund</w:t>
      </w:r>
      <w:r w:rsidR="0054674F" w:rsidRPr="00C07F3A">
        <w:t xml:space="preserve">ing </w:t>
      </w:r>
      <w:r w:rsidR="002F52D2" w:rsidRPr="00C07F3A">
        <w:t xml:space="preserve">strategy </w:t>
      </w:r>
      <w:r w:rsidR="0054674F" w:rsidRPr="00C07F3A">
        <w:t>statement</w:t>
      </w:r>
      <w:r w:rsidR="002F1A99" w:rsidRPr="00C07F3A">
        <w:t xml:space="preserve"> 2026</w:t>
      </w:r>
    </w:p>
    <w:p w14:paraId="6289F2E0" w14:textId="3C2D348A" w:rsidR="00DF497C" w:rsidRPr="00634895" w:rsidRDefault="00DF497C" w:rsidP="00DF497C">
      <w:pPr>
        <w:spacing w:after="360"/>
        <w:jc w:val="center"/>
        <w:rPr>
          <w:rFonts w:cstheme="minorHAnsi"/>
          <w:color w:val="61207F"/>
          <w:sz w:val="48"/>
          <w:szCs w:val="48"/>
        </w:rPr>
      </w:pPr>
    </w:p>
    <w:p w14:paraId="58087C94" w14:textId="19360F63" w:rsidR="00A25BAB" w:rsidRDefault="00A25BAB">
      <w:pPr>
        <w:rPr>
          <w:b/>
          <w:sz w:val="26"/>
          <w:szCs w:val="26"/>
        </w:rPr>
      </w:pPr>
    </w:p>
    <w:p w14:paraId="14A4CF4B" w14:textId="77777777" w:rsidR="00A25BAB" w:rsidRDefault="00A25BAB">
      <w:pPr>
        <w:rPr>
          <w:b/>
          <w:sz w:val="26"/>
          <w:szCs w:val="26"/>
        </w:rPr>
      </w:pPr>
      <w:r>
        <w:rPr>
          <w:b/>
          <w:sz w:val="26"/>
          <w:szCs w:val="26"/>
        </w:rPr>
        <w:br w:type="page"/>
      </w:r>
    </w:p>
    <w:sdt>
      <w:sdtPr>
        <w:rPr>
          <w:rFonts w:asciiTheme="minorHAnsi" w:eastAsiaTheme="minorEastAsia" w:hAnsiTheme="minorHAnsi" w:cstheme="minorBidi"/>
          <w:color w:val="auto"/>
          <w:sz w:val="22"/>
          <w:szCs w:val="22"/>
          <w:lang w:val="en-GB"/>
        </w:rPr>
        <w:id w:val="-1578591785"/>
        <w:docPartObj>
          <w:docPartGallery w:val="Table of Contents"/>
          <w:docPartUnique/>
        </w:docPartObj>
      </w:sdtPr>
      <w:sdtEndPr>
        <w:rPr>
          <w:b/>
          <w:bCs/>
          <w:noProof/>
        </w:rPr>
      </w:sdtEndPr>
      <w:sdtContent>
        <w:p w14:paraId="696BA025" w14:textId="17A335EA" w:rsidR="00C271AD" w:rsidRPr="00C271AD" w:rsidRDefault="00C271AD">
          <w:pPr>
            <w:pStyle w:val="TOCHeading"/>
            <w:rPr>
              <w:rFonts w:asciiTheme="minorHAnsi" w:hAnsiTheme="minorHAnsi" w:cstheme="minorHAnsi"/>
              <w:b/>
              <w:bCs/>
              <w:color w:val="244D7A"/>
            </w:rPr>
          </w:pPr>
          <w:r w:rsidRPr="00C271AD">
            <w:rPr>
              <w:rFonts w:asciiTheme="minorHAnsi" w:hAnsiTheme="minorHAnsi" w:cstheme="minorHAnsi"/>
              <w:b/>
              <w:bCs/>
              <w:color w:val="244D7A"/>
            </w:rPr>
            <w:t>Contents</w:t>
          </w:r>
        </w:p>
        <w:p w14:paraId="6EF116C5" w14:textId="020CE16C" w:rsidR="00BB1489" w:rsidRDefault="00C271AD">
          <w:pPr>
            <w:pStyle w:val="TOC1"/>
            <w:tabs>
              <w:tab w:val="left" w:pos="440"/>
              <w:tab w:val="right" w:leader="dot" w:pos="9322"/>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4482849" w:history="1">
            <w:r w:rsidR="00BB1489" w:rsidRPr="00FD65DA">
              <w:rPr>
                <w:rStyle w:val="Hyperlink"/>
                <w:noProof/>
              </w:rPr>
              <w:t>1.</w:t>
            </w:r>
            <w:r w:rsidR="00BB1489">
              <w:rPr>
                <w:rFonts w:eastAsiaTheme="minorEastAsia"/>
                <w:noProof/>
                <w:kern w:val="2"/>
                <w:sz w:val="24"/>
                <w:szCs w:val="24"/>
                <w:lang w:eastAsia="en-GB"/>
                <w14:ligatures w14:val="standardContextual"/>
              </w:rPr>
              <w:tab/>
            </w:r>
            <w:r w:rsidR="00BB1489" w:rsidRPr="00FD65DA">
              <w:rPr>
                <w:rStyle w:val="Hyperlink"/>
                <w:noProof/>
              </w:rPr>
              <w:t>Purpose of the Northamptonshire Pension Fund and the Funding strategy statement</w:t>
            </w:r>
            <w:r w:rsidR="00BB1489">
              <w:rPr>
                <w:noProof/>
                <w:webHidden/>
              </w:rPr>
              <w:tab/>
            </w:r>
            <w:r w:rsidR="00BB1489">
              <w:rPr>
                <w:noProof/>
                <w:webHidden/>
              </w:rPr>
              <w:fldChar w:fldCharType="begin"/>
            </w:r>
            <w:r w:rsidR="00BB1489">
              <w:rPr>
                <w:noProof/>
                <w:webHidden/>
              </w:rPr>
              <w:instrText xml:space="preserve"> PAGEREF _Toc194482849 \h </w:instrText>
            </w:r>
            <w:r w:rsidR="00BB1489">
              <w:rPr>
                <w:noProof/>
                <w:webHidden/>
              </w:rPr>
            </w:r>
            <w:r w:rsidR="00BB1489">
              <w:rPr>
                <w:noProof/>
                <w:webHidden/>
              </w:rPr>
              <w:fldChar w:fldCharType="separate"/>
            </w:r>
            <w:r w:rsidR="00B07F02">
              <w:rPr>
                <w:noProof/>
                <w:webHidden/>
              </w:rPr>
              <w:t>1</w:t>
            </w:r>
            <w:r w:rsidR="00BB1489">
              <w:rPr>
                <w:noProof/>
                <w:webHidden/>
              </w:rPr>
              <w:fldChar w:fldCharType="end"/>
            </w:r>
          </w:hyperlink>
        </w:p>
        <w:p w14:paraId="32037F59" w14:textId="0D58DE03"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0" w:history="1">
            <w:r w:rsidRPr="00FD65DA">
              <w:rPr>
                <w:rStyle w:val="Hyperlink"/>
                <w:noProof/>
              </w:rPr>
              <w:t>1.1 What is the Northamptonshire Pension Fund?</w:t>
            </w:r>
            <w:r>
              <w:rPr>
                <w:noProof/>
                <w:webHidden/>
              </w:rPr>
              <w:tab/>
            </w:r>
            <w:r>
              <w:rPr>
                <w:noProof/>
                <w:webHidden/>
              </w:rPr>
              <w:fldChar w:fldCharType="begin"/>
            </w:r>
            <w:r>
              <w:rPr>
                <w:noProof/>
                <w:webHidden/>
              </w:rPr>
              <w:instrText xml:space="preserve"> PAGEREF _Toc194482850 \h </w:instrText>
            </w:r>
            <w:r>
              <w:rPr>
                <w:noProof/>
                <w:webHidden/>
              </w:rPr>
            </w:r>
            <w:r>
              <w:rPr>
                <w:noProof/>
                <w:webHidden/>
              </w:rPr>
              <w:fldChar w:fldCharType="separate"/>
            </w:r>
            <w:r w:rsidR="00B07F02">
              <w:rPr>
                <w:noProof/>
                <w:webHidden/>
              </w:rPr>
              <w:t>1</w:t>
            </w:r>
            <w:r>
              <w:rPr>
                <w:noProof/>
                <w:webHidden/>
              </w:rPr>
              <w:fldChar w:fldCharType="end"/>
            </w:r>
          </w:hyperlink>
        </w:p>
        <w:p w14:paraId="4B3955DE" w14:textId="68562E3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1" w:history="1">
            <w:r w:rsidRPr="00FD65DA">
              <w:rPr>
                <w:rStyle w:val="Hyperlink"/>
                <w:noProof/>
              </w:rPr>
              <w:t>1.2 What are the Funding strategy objectives?</w:t>
            </w:r>
            <w:r>
              <w:rPr>
                <w:noProof/>
                <w:webHidden/>
              </w:rPr>
              <w:tab/>
            </w:r>
            <w:r>
              <w:rPr>
                <w:noProof/>
                <w:webHidden/>
              </w:rPr>
              <w:fldChar w:fldCharType="begin"/>
            </w:r>
            <w:r>
              <w:rPr>
                <w:noProof/>
                <w:webHidden/>
              </w:rPr>
              <w:instrText xml:space="preserve"> PAGEREF _Toc194482851 \h </w:instrText>
            </w:r>
            <w:r>
              <w:rPr>
                <w:noProof/>
                <w:webHidden/>
              </w:rPr>
            </w:r>
            <w:r>
              <w:rPr>
                <w:noProof/>
                <w:webHidden/>
              </w:rPr>
              <w:fldChar w:fldCharType="separate"/>
            </w:r>
            <w:r w:rsidR="00B07F02">
              <w:rPr>
                <w:noProof/>
                <w:webHidden/>
              </w:rPr>
              <w:t>1</w:t>
            </w:r>
            <w:r>
              <w:rPr>
                <w:noProof/>
                <w:webHidden/>
              </w:rPr>
              <w:fldChar w:fldCharType="end"/>
            </w:r>
          </w:hyperlink>
        </w:p>
        <w:p w14:paraId="71A00BFF" w14:textId="05D89BB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2" w:history="1">
            <w:r w:rsidRPr="00FD65DA">
              <w:rPr>
                <w:rStyle w:val="Hyperlink"/>
                <w:noProof/>
              </w:rPr>
              <w:t>1.3 Who is the FSS for?</w:t>
            </w:r>
            <w:r>
              <w:rPr>
                <w:noProof/>
                <w:webHidden/>
              </w:rPr>
              <w:tab/>
            </w:r>
            <w:r>
              <w:rPr>
                <w:noProof/>
                <w:webHidden/>
              </w:rPr>
              <w:fldChar w:fldCharType="begin"/>
            </w:r>
            <w:r>
              <w:rPr>
                <w:noProof/>
                <w:webHidden/>
              </w:rPr>
              <w:instrText xml:space="preserve"> PAGEREF _Toc194482852 \h </w:instrText>
            </w:r>
            <w:r>
              <w:rPr>
                <w:noProof/>
                <w:webHidden/>
              </w:rPr>
            </w:r>
            <w:r>
              <w:rPr>
                <w:noProof/>
                <w:webHidden/>
              </w:rPr>
              <w:fldChar w:fldCharType="separate"/>
            </w:r>
            <w:r w:rsidR="00B07F02">
              <w:rPr>
                <w:noProof/>
                <w:webHidden/>
              </w:rPr>
              <w:t>1</w:t>
            </w:r>
            <w:r>
              <w:rPr>
                <w:noProof/>
                <w:webHidden/>
              </w:rPr>
              <w:fldChar w:fldCharType="end"/>
            </w:r>
          </w:hyperlink>
        </w:p>
        <w:p w14:paraId="23F93A7D" w14:textId="1E4FB3E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3" w:history="1">
            <w:r w:rsidRPr="00FD65DA">
              <w:rPr>
                <w:rStyle w:val="Hyperlink"/>
                <w:noProof/>
              </w:rPr>
              <w:t>Scheduled bodies</w:t>
            </w:r>
            <w:r>
              <w:rPr>
                <w:noProof/>
                <w:webHidden/>
              </w:rPr>
              <w:tab/>
            </w:r>
            <w:r>
              <w:rPr>
                <w:noProof/>
                <w:webHidden/>
              </w:rPr>
              <w:fldChar w:fldCharType="begin"/>
            </w:r>
            <w:r>
              <w:rPr>
                <w:noProof/>
                <w:webHidden/>
              </w:rPr>
              <w:instrText xml:space="preserve"> PAGEREF _Toc194482853 \h </w:instrText>
            </w:r>
            <w:r>
              <w:rPr>
                <w:noProof/>
                <w:webHidden/>
              </w:rPr>
            </w:r>
            <w:r>
              <w:rPr>
                <w:noProof/>
                <w:webHidden/>
              </w:rPr>
              <w:fldChar w:fldCharType="separate"/>
            </w:r>
            <w:r w:rsidR="00B07F02">
              <w:rPr>
                <w:noProof/>
                <w:webHidden/>
              </w:rPr>
              <w:t>1</w:t>
            </w:r>
            <w:r>
              <w:rPr>
                <w:noProof/>
                <w:webHidden/>
              </w:rPr>
              <w:fldChar w:fldCharType="end"/>
            </w:r>
          </w:hyperlink>
        </w:p>
        <w:p w14:paraId="2B4582D6" w14:textId="449A85F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4" w:history="1">
            <w:r w:rsidRPr="00FD65DA">
              <w:rPr>
                <w:rStyle w:val="Hyperlink"/>
                <w:noProof/>
              </w:rPr>
              <w:t xml:space="preserve">Designated employers </w:t>
            </w:r>
            <w:r w:rsidRPr="00FD65DA">
              <w:rPr>
                <w:rStyle w:val="Hyperlink"/>
                <w:rFonts w:cstheme="minorHAnsi"/>
                <w:noProof/>
              </w:rPr>
              <w:t>(otherwise known as Resolution bodies)</w:t>
            </w:r>
            <w:r>
              <w:rPr>
                <w:noProof/>
                <w:webHidden/>
              </w:rPr>
              <w:tab/>
            </w:r>
            <w:r>
              <w:rPr>
                <w:noProof/>
                <w:webHidden/>
              </w:rPr>
              <w:fldChar w:fldCharType="begin"/>
            </w:r>
            <w:r>
              <w:rPr>
                <w:noProof/>
                <w:webHidden/>
              </w:rPr>
              <w:instrText xml:space="preserve"> PAGEREF _Toc194482854 \h </w:instrText>
            </w:r>
            <w:r>
              <w:rPr>
                <w:noProof/>
                <w:webHidden/>
              </w:rPr>
            </w:r>
            <w:r>
              <w:rPr>
                <w:noProof/>
                <w:webHidden/>
              </w:rPr>
              <w:fldChar w:fldCharType="separate"/>
            </w:r>
            <w:r w:rsidR="00B07F02">
              <w:rPr>
                <w:noProof/>
                <w:webHidden/>
              </w:rPr>
              <w:t>1</w:t>
            </w:r>
            <w:r>
              <w:rPr>
                <w:noProof/>
                <w:webHidden/>
              </w:rPr>
              <w:fldChar w:fldCharType="end"/>
            </w:r>
          </w:hyperlink>
        </w:p>
        <w:p w14:paraId="24B912C7" w14:textId="5DB339CD"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5" w:history="1">
            <w:r w:rsidRPr="00FD65DA">
              <w:rPr>
                <w:rStyle w:val="Hyperlink"/>
                <w:noProof/>
              </w:rPr>
              <w:t>Admission bodies</w:t>
            </w:r>
            <w:r>
              <w:rPr>
                <w:noProof/>
                <w:webHidden/>
              </w:rPr>
              <w:tab/>
            </w:r>
            <w:r>
              <w:rPr>
                <w:noProof/>
                <w:webHidden/>
              </w:rPr>
              <w:fldChar w:fldCharType="begin"/>
            </w:r>
            <w:r>
              <w:rPr>
                <w:noProof/>
                <w:webHidden/>
              </w:rPr>
              <w:instrText xml:space="preserve"> PAGEREF _Toc194482855 \h </w:instrText>
            </w:r>
            <w:r>
              <w:rPr>
                <w:noProof/>
                <w:webHidden/>
              </w:rPr>
            </w:r>
            <w:r>
              <w:rPr>
                <w:noProof/>
                <w:webHidden/>
              </w:rPr>
              <w:fldChar w:fldCharType="separate"/>
            </w:r>
            <w:r w:rsidR="00B07F02">
              <w:rPr>
                <w:noProof/>
                <w:webHidden/>
              </w:rPr>
              <w:t>2</w:t>
            </w:r>
            <w:r>
              <w:rPr>
                <w:noProof/>
                <w:webHidden/>
              </w:rPr>
              <w:fldChar w:fldCharType="end"/>
            </w:r>
          </w:hyperlink>
        </w:p>
        <w:p w14:paraId="6B121742" w14:textId="35A353FF"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6" w:history="1">
            <w:r w:rsidRPr="00FD65DA">
              <w:rPr>
                <w:rStyle w:val="Hyperlink"/>
                <w:noProof/>
              </w:rPr>
              <w:t>1.4 How is the Funding strategy specific to the Northamptonshire Pension Fund?</w:t>
            </w:r>
            <w:r>
              <w:rPr>
                <w:noProof/>
                <w:webHidden/>
              </w:rPr>
              <w:tab/>
            </w:r>
            <w:r>
              <w:rPr>
                <w:noProof/>
                <w:webHidden/>
              </w:rPr>
              <w:fldChar w:fldCharType="begin"/>
            </w:r>
            <w:r>
              <w:rPr>
                <w:noProof/>
                <w:webHidden/>
              </w:rPr>
              <w:instrText xml:space="preserve"> PAGEREF _Toc194482856 \h </w:instrText>
            </w:r>
            <w:r>
              <w:rPr>
                <w:noProof/>
                <w:webHidden/>
              </w:rPr>
            </w:r>
            <w:r>
              <w:rPr>
                <w:noProof/>
                <w:webHidden/>
              </w:rPr>
              <w:fldChar w:fldCharType="separate"/>
            </w:r>
            <w:r w:rsidR="00B07F02">
              <w:rPr>
                <w:noProof/>
                <w:webHidden/>
              </w:rPr>
              <w:t>2</w:t>
            </w:r>
            <w:r>
              <w:rPr>
                <w:noProof/>
                <w:webHidden/>
              </w:rPr>
              <w:fldChar w:fldCharType="end"/>
            </w:r>
          </w:hyperlink>
        </w:p>
        <w:p w14:paraId="30133D4F" w14:textId="5DCC2F95" w:rsidR="00BB1489" w:rsidRPr="008A456B" w:rsidRDefault="00BB1489">
          <w:pPr>
            <w:pStyle w:val="TOC2"/>
            <w:tabs>
              <w:tab w:val="right" w:leader="dot" w:pos="9322"/>
            </w:tabs>
            <w:rPr>
              <w:rFonts w:eastAsiaTheme="minorEastAsia"/>
              <w:noProof/>
              <w:kern w:val="2"/>
              <w:sz w:val="24"/>
              <w:szCs w:val="24"/>
              <w:lang w:eastAsia="en-GB"/>
              <w14:ligatures w14:val="standardContextual"/>
            </w:rPr>
          </w:pPr>
          <w:hyperlink w:anchor="_Toc194482857" w:history="1">
            <w:r w:rsidRPr="00310604">
              <w:rPr>
                <w:rStyle w:val="Hyperlink"/>
                <w:rFonts w:eastAsiaTheme="majorEastAsia" w:cstheme="minorHAnsi"/>
                <w:noProof/>
              </w:rPr>
              <w:t>1.5 How often is the Funding Strategy Statement reviewed?</w:t>
            </w:r>
            <w:r w:rsidRPr="008A456B">
              <w:rPr>
                <w:noProof/>
                <w:webHidden/>
              </w:rPr>
              <w:tab/>
            </w:r>
            <w:r w:rsidRPr="008A456B">
              <w:rPr>
                <w:noProof/>
                <w:webHidden/>
              </w:rPr>
              <w:fldChar w:fldCharType="begin"/>
            </w:r>
            <w:r w:rsidRPr="008A456B">
              <w:rPr>
                <w:noProof/>
                <w:webHidden/>
              </w:rPr>
              <w:instrText xml:space="preserve"> PAGEREF _Toc194482857 \h </w:instrText>
            </w:r>
            <w:r w:rsidRPr="008A456B">
              <w:rPr>
                <w:noProof/>
                <w:webHidden/>
              </w:rPr>
            </w:r>
            <w:r w:rsidRPr="008A456B">
              <w:rPr>
                <w:noProof/>
                <w:webHidden/>
              </w:rPr>
              <w:fldChar w:fldCharType="separate"/>
            </w:r>
            <w:r w:rsidR="00B07F02">
              <w:rPr>
                <w:noProof/>
                <w:webHidden/>
              </w:rPr>
              <w:t>2</w:t>
            </w:r>
            <w:r w:rsidRPr="008A456B">
              <w:rPr>
                <w:noProof/>
                <w:webHidden/>
              </w:rPr>
              <w:fldChar w:fldCharType="end"/>
            </w:r>
          </w:hyperlink>
        </w:p>
        <w:p w14:paraId="6D23BCC3" w14:textId="1F63C29F" w:rsidR="00BB1489" w:rsidRPr="008A456B" w:rsidRDefault="00BB1489">
          <w:pPr>
            <w:pStyle w:val="TOC2"/>
            <w:tabs>
              <w:tab w:val="right" w:leader="dot" w:pos="9322"/>
            </w:tabs>
            <w:rPr>
              <w:rFonts w:eastAsiaTheme="minorEastAsia"/>
              <w:noProof/>
              <w:kern w:val="2"/>
              <w:sz w:val="24"/>
              <w:szCs w:val="24"/>
              <w:lang w:eastAsia="en-GB"/>
              <w14:ligatures w14:val="standardContextual"/>
            </w:rPr>
          </w:pPr>
          <w:hyperlink w:anchor="_Toc194482858" w:history="1">
            <w:r w:rsidRPr="002A0BE3">
              <w:rPr>
                <w:rStyle w:val="Hyperlink"/>
                <w:rFonts w:eastAsiaTheme="majorEastAsia" w:cstheme="minorHAnsi"/>
                <w:noProof/>
              </w:rPr>
              <w:t>1.6 Links to Administration Strategy</w:t>
            </w:r>
            <w:r w:rsidRPr="008A456B">
              <w:rPr>
                <w:noProof/>
                <w:webHidden/>
              </w:rPr>
              <w:tab/>
            </w:r>
            <w:r w:rsidRPr="008A456B">
              <w:rPr>
                <w:noProof/>
                <w:webHidden/>
              </w:rPr>
              <w:fldChar w:fldCharType="begin"/>
            </w:r>
            <w:r w:rsidRPr="008A456B">
              <w:rPr>
                <w:noProof/>
                <w:webHidden/>
              </w:rPr>
              <w:instrText xml:space="preserve"> PAGEREF _Toc194482858 \h </w:instrText>
            </w:r>
            <w:r w:rsidRPr="008A456B">
              <w:rPr>
                <w:noProof/>
                <w:webHidden/>
              </w:rPr>
            </w:r>
            <w:r w:rsidRPr="008A456B">
              <w:rPr>
                <w:noProof/>
                <w:webHidden/>
              </w:rPr>
              <w:fldChar w:fldCharType="separate"/>
            </w:r>
            <w:r w:rsidR="00B07F02">
              <w:rPr>
                <w:noProof/>
                <w:webHidden/>
              </w:rPr>
              <w:t>3</w:t>
            </w:r>
            <w:r w:rsidRPr="008A456B">
              <w:rPr>
                <w:noProof/>
                <w:webHidden/>
              </w:rPr>
              <w:fldChar w:fldCharType="end"/>
            </w:r>
          </w:hyperlink>
        </w:p>
        <w:p w14:paraId="0F0D8678" w14:textId="549CAAB7" w:rsidR="00BB1489" w:rsidRDefault="00BB1489">
          <w:pPr>
            <w:pStyle w:val="TOC2"/>
            <w:tabs>
              <w:tab w:val="right" w:leader="dot" w:pos="9322"/>
            </w:tabs>
            <w:rPr>
              <w:rStyle w:val="Hyperlink"/>
              <w:noProof/>
            </w:rPr>
          </w:pPr>
          <w:hyperlink w:anchor="_Toc194482859" w:history="1">
            <w:r w:rsidRPr="002A0BE3">
              <w:rPr>
                <w:rStyle w:val="Hyperlink"/>
                <w:rFonts w:eastAsiaTheme="majorEastAsia" w:cstheme="minorHAnsi"/>
                <w:noProof/>
              </w:rPr>
              <w:t>1.7 Actuarial valuation report</w:t>
            </w:r>
            <w:r w:rsidRPr="008A456B">
              <w:rPr>
                <w:noProof/>
                <w:webHidden/>
              </w:rPr>
              <w:tab/>
            </w:r>
            <w:r w:rsidRPr="008A456B">
              <w:rPr>
                <w:noProof/>
                <w:webHidden/>
              </w:rPr>
              <w:fldChar w:fldCharType="begin"/>
            </w:r>
            <w:r w:rsidRPr="008A456B">
              <w:rPr>
                <w:noProof/>
                <w:webHidden/>
              </w:rPr>
              <w:instrText xml:space="preserve"> PAGEREF _Toc194482859 \h </w:instrText>
            </w:r>
            <w:r w:rsidRPr="008A456B">
              <w:rPr>
                <w:noProof/>
                <w:webHidden/>
              </w:rPr>
            </w:r>
            <w:r w:rsidRPr="008A456B">
              <w:rPr>
                <w:noProof/>
                <w:webHidden/>
              </w:rPr>
              <w:fldChar w:fldCharType="separate"/>
            </w:r>
            <w:r w:rsidR="00B07F02">
              <w:rPr>
                <w:noProof/>
                <w:webHidden/>
              </w:rPr>
              <w:t>3</w:t>
            </w:r>
            <w:r w:rsidRPr="008A456B">
              <w:rPr>
                <w:noProof/>
                <w:webHidden/>
              </w:rPr>
              <w:fldChar w:fldCharType="end"/>
            </w:r>
          </w:hyperlink>
        </w:p>
        <w:p w14:paraId="762F01AA" w14:textId="45FFA1AE" w:rsidR="00FC6F48" w:rsidRPr="00095331" w:rsidRDefault="00177CDE" w:rsidP="00095331">
          <w:pPr>
            <w:spacing w:before="240"/>
            <w:rPr>
              <w:noProof/>
            </w:rPr>
          </w:pPr>
          <w:r>
            <w:rPr>
              <w:b/>
              <w:bCs/>
              <w:noProof/>
            </w:rPr>
            <w:t>Part A - Key Funding Principles</w:t>
          </w:r>
        </w:p>
        <w:p w14:paraId="14EC665D" w14:textId="2270AF87"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60" w:history="1">
            <w:r w:rsidRPr="00FD65DA">
              <w:rPr>
                <w:rStyle w:val="Hyperlink"/>
                <w:noProof/>
              </w:rPr>
              <w:t>2. How does the Fund calculate employer contributions?</w:t>
            </w:r>
            <w:r>
              <w:rPr>
                <w:noProof/>
                <w:webHidden/>
              </w:rPr>
              <w:tab/>
            </w:r>
            <w:r>
              <w:rPr>
                <w:noProof/>
                <w:webHidden/>
              </w:rPr>
              <w:fldChar w:fldCharType="begin"/>
            </w:r>
            <w:r>
              <w:rPr>
                <w:noProof/>
                <w:webHidden/>
              </w:rPr>
              <w:instrText xml:space="preserve"> PAGEREF _Toc194482860 \h </w:instrText>
            </w:r>
            <w:r>
              <w:rPr>
                <w:noProof/>
                <w:webHidden/>
              </w:rPr>
            </w:r>
            <w:r>
              <w:rPr>
                <w:noProof/>
                <w:webHidden/>
              </w:rPr>
              <w:fldChar w:fldCharType="separate"/>
            </w:r>
            <w:r w:rsidR="00B07F02">
              <w:rPr>
                <w:noProof/>
                <w:webHidden/>
              </w:rPr>
              <w:t>4</w:t>
            </w:r>
            <w:r>
              <w:rPr>
                <w:noProof/>
                <w:webHidden/>
              </w:rPr>
              <w:fldChar w:fldCharType="end"/>
            </w:r>
          </w:hyperlink>
        </w:p>
        <w:p w14:paraId="4C1FBD2D" w14:textId="1731404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1" w:history="1">
            <w:r w:rsidRPr="00FD65DA">
              <w:rPr>
                <w:rStyle w:val="Hyperlink"/>
                <w:noProof/>
              </w:rPr>
              <w:t>2.1 Calculating contribution rates</w:t>
            </w:r>
            <w:r>
              <w:rPr>
                <w:noProof/>
                <w:webHidden/>
              </w:rPr>
              <w:tab/>
            </w:r>
            <w:r>
              <w:rPr>
                <w:noProof/>
                <w:webHidden/>
              </w:rPr>
              <w:fldChar w:fldCharType="begin"/>
            </w:r>
            <w:r>
              <w:rPr>
                <w:noProof/>
                <w:webHidden/>
              </w:rPr>
              <w:instrText xml:space="preserve"> PAGEREF _Toc194482861 \h </w:instrText>
            </w:r>
            <w:r>
              <w:rPr>
                <w:noProof/>
                <w:webHidden/>
              </w:rPr>
            </w:r>
            <w:r>
              <w:rPr>
                <w:noProof/>
                <w:webHidden/>
              </w:rPr>
              <w:fldChar w:fldCharType="separate"/>
            </w:r>
            <w:r w:rsidR="00B07F02">
              <w:rPr>
                <w:noProof/>
                <w:webHidden/>
              </w:rPr>
              <w:t>4</w:t>
            </w:r>
            <w:r>
              <w:rPr>
                <w:noProof/>
                <w:webHidden/>
              </w:rPr>
              <w:fldChar w:fldCharType="end"/>
            </w:r>
          </w:hyperlink>
        </w:p>
        <w:p w14:paraId="78A93472" w14:textId="5EA3185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2" w:history="1">
            <w:r w:rsidRPr="00FD65DA">
              <w:rPr>
                <w:rStyle w:val="Hyperlink"/>
                <w:noProof/>
              </w:rPr>
              <w:t>2.2 The contribution rate calculation</w:t>
            </w:r>
            <w:r>
              <w:rPr>
                <w:noProof/>
                <w:webHidden/>
              </w:rPr>
              <w:tab/>
            </w:r>
            <w:r>
              <w:rPr>
                <w:noProof/>
                <w:webHidden/>
              </w:rPr>
              <w:fldChar w:fldCharType="begin"/>
            </w:r>
            <w:r>
              <w:rPr>
                <w:noProof/>
                <w:webHidden/>
              </w:rPr>
              <w:instrText xml:space="preserve"> PAGEREF _Toc194482862 \h </w:instrText>
            </w:r>
            <w:r>
              <w:rPr>
                <w:noProof/>
                <w:webHidden/>
              </w:rPr>
            </w:r>
            <w:r>
              <w:rPr>
                <w:noProof/>
                <w:webHidden/>
              </w:rPr>
              <w:fldChar w:fldCharType="separate"/>
            </w:r>
            <w:r w:rsidR="00B07F02">
              <w:rPr>
                <w:noProof/>
                <w:webHidden/>
              </w:rPr>
              <w:t>5</w:t>
            </w:r>
            <w:r>
              <w:rPr>
                <w:noProof/>
                <w:webHidden/>
              </w:rPr>
              <w:fldChar w:fldCharType="end"/>
            </w:r>
          </w:hyperlink>
        </w:p>
        <w:p w14:paraId="0E4DF619" w14:textId="1F012392"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63" w:history="1">
            <w:r w:rsidRPr="00FD65DA">
              <w:rPr>
                <w:rStyle w:val="Hyperlink"/>
                <w:noProof/>
              </w:rPr>
              <w:t>Contribution rate calculation for individual pooled employers</w:t>
            </w:r>
            <w:r>
              <w:rPr>
                <w:noProof/>
                <w:webHidden/>
              </w:rPr>
              <w:tab/>
            </w:r>
            <w:r>
              <w:rPr>
                <w:noProof/>
                <w:webHidden/>
              </w:rPr>
              <w:fldChar w:fldCharType="begin"/>
            </w:r>
            <w:r>
              <w:rPr>
                <w:noProof/>
                <w:webHidden/>
              </w:rPr>
              <w:instrText xml:space="preserve"> PAGEREF _Toc194482863 \h </w:instrText>
            </w:r>
            <w:r>
              <w:rPr>
                <w:noProof/>
                <w:webHidden/>
              </w:rPr>
            </w:r>
            <w:r>
              <w:rPr>
                <w:noProof/>
                <w:webHidden/>
              </w:rPr>
              <w:fldChar w:fldCharType="separate"/>
            </w:r>
            <w:r w:rsidR="00B07F02">
              <w:rPr>
                <w:noProof/>
                <w:webHidden/>
              </w:rPr>
              <w:t>5</w:t>
            </w:r>
            <w:r>
              <w:rPr>
                <w:noProof/>
                <w:webHidden/>
              </w:rPr>
              <w:fldChar w:fldCharType="end"/>
            </w:r>
          </w:hyperlink>
        </w:p>
        <w:p w14:paraId="5FE6DA26" w14:textId="6A94609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4" w:history="1">
            <w:r w:rsidRPr="00FD65DA">
              <w:rPr>
                <w:rStyle w:val="Hyperlink"/>
                <w:noProof/>
              </w:rPr>
              <w:t>2.3 Making contributions rates stable</w:t>
            </w:r>
            <w:r>
              <w:rPr>
                <w:noProof/>
                <w:webHidden/>
              </w:rPr>
              <w:tab/>
            </w:r>
            <w:r>
              <w:rPr>
                <w:noProof/>
                <w:webHidden/>
              </w:rPr>
              <w:fldChar w:fldCharType="begin"/>
            </w:r>
            <w:r>
              <w:rPr>
                <w:noProof/>
                <w:webHidden/>
              </w:rPr>
              <w:instrText xml:space="preserve"> PAGEREF _Toc194482864 \h </w:instrText>
            </w:r>
            <w:r>
              <w:rPr>
                <w:noProof/>
                <w:webHidden/>
              </w:rPr>
            </w:r>
            <w:r>
              <w:rPr>
                <w:noProof/>
                <w:webHidden/>
              </w:rPr>
              <w:fldChar w:fldCharType="separate"/>
            </w:r>
            <w:r w:rsidR="00B07F02">
              <w:rPr>
                <w:noProof/>
                <w:webHidden/>
              </w:rPr>
              <w:t>6</w:t>
            </w:r>
            <w:r>
              <w:rPr>
                <w:noProof/>
                <w:webHidden/>
              </w:rPr>
              <w:fldChar w:fldCharType="end"/>
            </w:r>
          </w:hyperlink>
        </w:p>
        <w:p w14:paraId="364BBF11" w14:textId="58A162A1" w:rsidR="00BB1489" w:rsidRPr="00DD160A" w:rsidRDefault="00BB1489">
          <w:pPr>
            <w:pStyle w:val="TOC3"/>
            <w:tabs>
              <w:tab w:val="right" w:leader="dot" w:pos="9322"/>
            </w:tabs>
            <w:rPr>
              <w:rFonts w:eastAsiaTheme="minorEastAsia"/>
              <w:noProof/>
              <w:kern w:val="2"/>
              <w:sz w:val="24"/>
              <w:szCs w:val="24"/>
              <w:lang w:eastAsia="en-GB"/>
              <w14:ligatures w14:val="standardContextual"/>
            </w:rPr>
          </w:pPr>
          <w:hyperlink w:anchor="_Toc194482865" w:history="1">
            <w:r w:rsidRPr="00DD160A">
              <w:rPr>
                <w:rStyle w:val="Hyperlink"/>
                <w:noProof/>
              </w:rPr>
              <w:t>Current stabilisation approach</w:t>
            </w:r>
            <w:r w:rsidRPr="00DD160A">
              <w:rPr>
                <w:noProof/>
                <w:webHidden/>
              </w:rPr>
              <w:tab/>
            </w:r>
            <w:r w:rsidRPr="00DD160A">
              <w:rPr>
                <w:noProof/>
                <w:webHidden/>
              </w:rPr>
              <w:fldChar w:fldCharType="begin"/>
            </w:r>
            <w:r w:rsidRPr="00DD160A">
              <w:rPr>
                <w:noProof/>
                <w:webHidden/>
              </w:rPr>
              <w:instrText xml:space="preserve"> PAGEREF _Toc194482865 \h </w:instrText>
            </w:r>
            <w:r w:rsidRPr="00DD160A">
              <w:rPr>
                <w:noProof/>
                <w:webHidden/>
              </w:rPr>
            </w:r>
            <w:r w:rsidRPr="00DD160A">
              <w:rPr>
                <w:noProof/>
                <w:webHidden/>
              </w:rPr>
              <w:fldChar w:fldCharType="separate"/>
            </w:r>
            <w:r w:rsidR="00B07F02">
              <w:rPr>
                <w:noProof/>
                <w:webHidden/>
              </w:rPr>
              <w:t>6</w:t>
            </w:r>
            <w:r w:rsidRPr="00DD160A">
              <w:rPr>
                <w:noProof/>
                <w:webHidden/>
              </w:rPr>
              <w:fldChar w:fldCharType="end"/>
            </w:r>
          </w:hyperlink>
        </w:p>
        <w:p w14:paraId="12EDD229" w14:textId="52EDC85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6" w:history="1">
            <w:r w:rsidRPr="00DD160A">
              <w:rPr>
                <w:rStyle w:val="Hyperlink"/>
                <w:rFonts w:eastAsiaTheme="majorEastAsia" w:cstheme="minorHAnsi"/>
                <w:noProof/>
              </w:rPr>
              <w:t>2.4 Links to investment strategy</w:t>
            </w:r>
            <w:r w:rsidRPr="00DD160A">
              <w:rPr>
                <w:noProof/>
                <w:webHidden/>
              </w:rPr>
              <w:tab/>
            </w:r>
            <w:r w:rsidRPr="00DD160A">
              <w:rPr>
                <w:noProof/>
                <w:webHidden/>
              </w:rPr>
              <w:fldChar w:fldCharType="begin"/>
            </w:r>
            <w:r w:rsidRPr="00DD160A">
              <w:rPr>
                <w:noProof/>
                <w:webHidden/>
              </w:rPr>
              <w:instrText xml:space="preserve"> PAGEREF _Toc194482866 \h </w:instrText>
            </w:r>
            <w:r w:rsidRPr="00DD160A">
              <w:rPr>
                <w:noProof/>
                <w:webHidden/>
              </w:rPr>
            </w:r>
            <w:r w:rsidRPr="00DD160A">
              <w:rPr>
                <w:noProof/>
                <w:webHidden/>
              </w:rPr>
              <w:fldChar w:fldCharType="separate"/>
            </w:r>
            <w:r w:rsidR="00B07F02">
              <w:rPr>
                <w:noProof/>
                <w:webHidden/>
              </w:rPr>
              <w:t>6</w:t>
            </w:r>
            <w:r w:rsidRPr="00DD160A">
              <w:rPr>
                <w:noProof/>
                <w:webHidden/>
              </w:rPr>
              <w:fldChar w:fldCharType="end"/>
            </w:r>
          </w:hyperlink>
        </w:p>
        <w:p w14:paraId="48A42059" w14:textId="0F17B5F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7" w:history="1">
            <w:r w:rsidRPr="00DD160A">
              <w:rPr>
                <w:rStyle w:val="Hyperlink"/>
                <w:rFonts w:eastAsiaTheme="majorEastAsia" w:cstheme="minorHAnsi"/>
                <w:noProof/>
              </w:rPr>
              <w:t>2.5 Does the Funding strategy statement reflect the investment strategy?</w:t>
            </w:r>
            <w:r w:rsidRPr="00DD160A">
              <w:rPr>
                <w:noProof/>
                <w:webHidden/>
              </w:rPr>
              <w:tab/>
            </w:r>
            <w:r w:rsidRPr="00DD160A">
              <w:rPr>
                <w:noProof/>
                <w:webHidden/>
              </w:rPr>
              <w:fldChar w:fldCharType="begin"/>
            </w:r>
            <w:r w:rsidRPr="00DD160A">
              <w:rPr>
                <w:noProof/>
                <w:webHidden/>
              </w:rPr>
              <w:instrText xml:space="preserve"> PAGEREF _Toc194482867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5B79CBAD" w14:textId="4583F4A3"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8" w:history="1">
            <w:r w:rsidRPr="00DD160A">
              <w:rPr>
                <w:rStyle w:val="Hyperlink"/>
                <w:noProof/>
              </w:rPr>
              <w:t>2.6 Reviewing contributions between valuations</w:t>
            </w:r>
            <w:r w:rsidRPr="00DD160A">
              <w:rPr>
                <w:noProof/>
                <w:webHidden/>
              </w:rPr>
              <w:tab/>
            </w:r>
            <w:r w:rsidRPr="00DD160A">
              <w:rPr>
                <w:noProof/>
                <w:webHidden/>
              </w:rPr>
              <w:fldChar w:fldCharType="begin"/>
            </w:r>
            <w:r w:rsidRPr="00DD160A">
              <w:rPr>
                <w:noProof/>
                <w:webHidden/>
              </w:rPr>
              <w:instrText xml:space="preserve"> PAGEREF _Toc194482868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6A87816A" w14:textId="30418D62"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9" w:history="1">
            <w:r w:rsidRPr="00DD160A">
              <w:rPr>
                <w:rStyle w:val="Hyperlink"/>
                <w:noProof/>
              </w:rPr>
              <w:t>2.7 What is pooling?</w:t>
            </w:r>
            <w:r w:rsidRPr="00DD160A">
              <w:rPr>
                <w:noProof/>
                <w:webHidden/>
              </w:rPr>
              <w:tab/>
            </w:r>
            <w:r w:rsidRPr="00DD160A">
              <w:rPr>
                <w:noProof/>
                <w:webHidden/>
              </w:rPr>
              <w:fldChar w:fldCharType="begin"/>
            </w:r>
            <w:r w:rsidRPr="00DD160A">
              <w:rPr>
                <w:noProof/>
                <w:webHidden/>
              </w:rPr>
              <w:instrText xml:space="preserve"> PAGEREF _Toc194482869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6B7CA9FB" w14:textId="274B2DB6"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70" w:history="1">
            <w:r w:rsidRPr="00DD160A">
              <w:rPr>
                <w:rStyle w:val="Hyperlink"/>
                <w:noProof/>
              </w:rPr>
              <w:t>2.8 What are the current contribution pools?</w:t>
            </w:r>
            <w:r w:rsidRPr="00DD160A">
              <w:rPr>
                <w:noProof/>
                <w:webHidden/>
              </w:rPr>
              <w:tab/>
            </w:r>
            <w:r w:rsidRPr="00DD160A">
              <w:rPr>
                <w:noProof/>
                <w:webHidden/>
              </w:rPr>
              <w:fldChar w:fldCharType="begin"/>
            </w:r>
            <w:r w:rsidRPr="00DD160A">
              <w:rPr>
                <w:noProof/>
                <w:webHidden/>
              </w:rPr>
              <w:instrText xml:space="preserve"> PAGEREF _Toc194482870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2891E04C" w14:textId="132B77C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71" w:history="1">
            <w:r w:rsidRPr="00DD160A">
              <w:rPr>
                <w:rStyle w:val="Hyperlink"/>
                <w:noProof/>
              </w:rPr>
              <w:t>2.9 Administering authority decision</w:t>
            </w:r>
            <w:r w:rsidRPr="00DD160A">
              <w:rPr>
                <w:noProof/>
                <w:webHidden/>
              </w:rPr>
              <w:tab/>
            </w:r>
            <w:r w:rsidRPr="00DD160A">
              <w:rPr>
                <w:noProof/>
                <w:webHidden/>
              </w:rPr>
              <w:fldChar w:fldCharType="begin"/>
            </w:r>
            <w:r w:rsidRPr="00DD160A">
              <w:rPr>
                <w:noProof/>
                <w:webHidden/>
              </w:rPr>
              <w:instrText xml:space="preserve"> PAGEREF _Toc194482871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7F567C7A" w14:textId="771C6599"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2" w:history="1">
            <w:r w:rsidRPr="00FD65DA">
              <w:rPr>
                <w:rStyle w:val="Hyperlink"/>
                <w:rFonts w:cstheme="minorHAnsi"/>
                <w:noProof/>
              </w:rPr>
              <w:t>2.10 Non cash funding</w:t>
            </w:r>
            <w:r>
              <w:rPr>
                <w:noProof/>
                <w:webHidden/>
              </w:rPr>
              <w:tab/>
            </w:r>
            <w:r>
              <w:rPr>
                <w:noProof/>
                <w:webHidden/>
              </w:rPr>
              <w:fldChar w:fldCharType="begin"/>
            </w:r>
            <w:r>
              <w:rPr>
                <w:noProof/>
                <w:webHidden/>
              </w:rPr>
              <w:instrText xml:space="preserve"> PAGEREF _Toc194482872 \h </w:instrText>
            </w:r>
            <w:r>
              <w:rPr>
                <w:noProof/>
                <w:webHidden/>
              </w:rPr>
            </w:r>
            <w:r>
              <w:rPr>
                <w:noProof/>
                <w:webHidden/>
              </w:rPr>
              <w:fldChar w:fldCharType="separate"/>
            </w:r>
            <w:r w:rsidR="00B07F02">
              <w:rPr>
                <w:noProof/>
                <w:webHidden/>
              </w:rPr>
              <w:t>9</w:t>
            </w:r>
            <w:r>
              <w:rPr>
                <w:noProof/>
                <w:webHidden/>
              </w:rPr>
              <w:fldChar w:fldCharType="end"/>
            </w:r>
          </w:hyperlink>
        </w:p>
        <w:p w14:paraId="33F24F5B" w14:textId="7B1E069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3" w:history="1">
            <w:r w:rsidRPr="00FD65DA">
              <w:rPr>
                <w:rStyle w:val="Hyperlink"/>
                <w:rFonts w:cstheme="minorHAnsi"/>
                <w:noProof/>
              </w:rPr>
              <w:t>2.11 Managing surpluses and deficits</w:t>
            </w:r>
            <w:r>
              <w:rPr>
                <w:noProof/>
                <w:webHidden/>
              </w:rPr>
              <w:tab/>
            </w:r>
            <w:r>
              <w:rPr>
                <w:noProof/>
                <w:webHidden/>
              </w:rPr>
              <w:fldChar w:fldCharType="begin"/>
            </w:r>
            <w:r>
              <w:rPr>
                <w:noProof/>
                <w:webHidden/>
              </w:rPr>
              <w:instrText xml:space="preserve"> PAGEREF _Toc194482873 \h </w:instrText>
            </w:r>
            <w:r>
              <w:rPr>
                <w:noProof/>
                <w:webHidden/>
              </w:rPr>
            </w:r>
            <w:r>
              <w:rPr>
                <w:noProof/>
                <w:webHidden/>
              </w:rPr>
              <w:fldChar w:fldCharType="separate"/>
            </w:r>
            <w:r w:rsidR="00B07F02">
              <w:rPr>
                <w:noProof/>
                <w:webHidden/>
              </w:rPr>
              <w:t>9</w:t>
            </w:r>
            <w:r>
              <w:rPr>
                <w:noProof/>
                <w:webHidden/>
              </w:rPr>
              <w:fldChar w:fldCharType="end"/>
            </w:r>
          </w:hyperlink>
        </w:p>
        <w:p w14:paraId="71DB136C" w14:textId="2793479A"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74" w:history="1">
            <w:r w:rsidRPr="00FD65DA">
              <w:rPr>
                <w:rStyle w:val="Hyperlink"/>
                <w:noProof/>
              </w:rPr>
              <w:t>3. What additional contributions may be payable?</w:t>
            </w:r>
            <w:r>
              <w:rPr>
                <w:noProof/>
                <w:webHidden/>
              </w:rPr>
              <w:tab/>
            </w:r>
            <w:r>
              <w:rPr>
                <w:noProof/>
                <w:webHidden/>
              </w:rPr>
              <w:fldChar w:fldCharType="begin"/>
            </w:r>
            <w:r>
              <w:rPr>
                <w:noProof/>
                <w:webHidden/>
              </w:rPr>
              <w:instrText xml:space="preserve"> PAGEREF _Toc194482874 \h </w:instrText>
            </w:r>
            <w:r>
              <w:rPr>
                <w:noProof/>
                <w:webHidden/>
              </w:rPr>
            </w:r>
            <w:r>
              <w:rPr>
                <w:noProof/>
                <w:webHidden/>
              </w:rPr>
              <w:fldChar w:fldCharType="separate"/>
            </w:r>
            <w:r w:rsidR="00B07F02">
              <w:rPr>
                <w:noProof/>
                <w:webHidden/>
              </w:rPr>
              <w:t>10</w:t>
            </w:r>
            <w:r>
              <w:rPr>
                <w:noProof/>
                <w:webHidden/>
              </w:rPr>
              <w:fldChar w:fldCharType="end"/>
            </w:r>
          </w:hyperlink>
        </w:p>
        <w:p w14:paraId="7C850D5E" w14:textId="61CBF216"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5" w:history="1">
            <w:r w:rsidRPr="00FD65DA">
              <w:rPr>
                <w:rStyle w:val="Hyperlink"/>
                <w:noProof/>
              </w:rPr>
              <w:t>3.1 Pension costs – awarding additional pension and early retirement on no ill health grounds</w:t>
            </w:r>
            <w:r>
              <w:rPr>
                <w:noProof/>
                <w:webHidden/>
              </w:rPr>
              <w:tab/>
            </w:r>
            <w:r>
              <w:rPr>
                <w:noProof/>
                <w:webHidden/>
              </w:rPr>
              <w:fldChar w:fldCharType="begin"/>
            </w:r>
            <w:r>
              <w:rPr>
                <w:noProof/>
                <w:webHidden/>
              </w:rPr>
              <w:instrText xml:space="preserve"> PAGEREF _Toc194482875 \h </w:instrText>
            </w:r>
            <w:r>
              <w:rPr>
                <w:noProof/>
                <w:webHidden/>
              </w:rPr>
            </w:r>
            <w:r>
              <w:rPr>
                <w:noProof/>
                <w:webHidden/>
              </w:rPr>
              <w:fldChar w:fldCharType="separate"/>
            </w:r>
            <w:r w:rsidR="00B07F02">
              <w:rPr>
                <w:noProof/>
                <w:webHidden/>
              </w:rPr>
              <w:t>10</w:t>
            </w:r>
            <w:r>
              <w:rPr>
                <w:noProof/>
                <w:webHidden/>
              </w:rPr>
              <w:fldChar w:fldCharType="end"/>
            </w:r>
          </w:hyperlink>
        </w:p>
        <w:p w14:paraId="175EC829" w14:textId="3EBDB13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6" w:history="1">
            <w:r w:rsidRPr="00FD65DA">
              <w:rPr>
                <w:rStyle w:val="Hyperlink"/>
                <w:noProof/>
              </w:rPr>
              <w:t>3.2 Pension costs – early retirement on ill health grounds</w:t>
            </w:r>
            <w:r>
              <w:rPr>
                <w:noProof/>
                <w:webHidden/>
              </w:rPr>
              <w:tab/>
            </w:r>
            <w:r>
              <w:rPr>
                <w:noProof/>
                <w:webHidden/>
              </w:rPr>
              <w:fldChar w:fldCharType="begin"/>
            </w:r>
            <w:r>
              <w:rPr>
                <w:noProof/>
                <w:webHidden/>
              </w:rPr>
              <w:instrText xml:space="preserve"> PAGEREF _Toc194482876 \h </w:instrText>
            </w:r>
            <w:r>
              <w:rPr>
                <w:noProof/>
                <w:webHidden/>
              </w:rPr>
            </w:r>
            <w:r>
              <w:rPr>
                <w:noProof/>
                <w:webHidden/>
              </w:rPr>
              <w:fldChar w:fldCharType="separate"/>
            </w:r>
            <w:r w:rsidR="00B07F02">
              <w:rPr>
                <w:noProof/>
                <w:webHidden/>
              </w:rPr>
              <w:t>10</w:t>
            </w:r>
            <w:r>
              <w:rPr>
                <w:noProof/>
                <w:webHidden/>
              </w:rPr>
              <w:fldChar w:fldCharType="end"/>
            </w:r>
          </w:hyperlink>
        </w:p>
        <w:p w14:paraId="2A318DDC" w14:textId="71E8E44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77" w:history="1">
            <w:r w:rsidRPr="00FD65DA">
              <w:rPr>
                <w:rStyle w:val="Hyperlink"/>
                <w:noProof/>
              </w:rPr>
              <w:t>4. How does the Fund calculate assets and liabilities?</w:t>
            </w:r>
            <w:r>
              <w:rPr>
                <w:noProof/>
                <w:webHidden/>
              </w:rPr>
              <w:tab/>
            </w:r>
            <w:r>
              <w:rPr>
                <w:noProof/>
                <w:webHidden/>
              </w:rPr>
              <w:fldChar w:fldCharType="begin"/>
            </w:r>
            <w:r>
              <w:rPr>
                <w:noProof/>
                <w:webHidden/>
              </w:rPr>
              <w:instrText xml:space="preserve"> PAGEREF _Toc194482877 \h </w:instrText>
            </w:r>
            <w:r>
              <w:rPr>
                <w:noProof/>
                <w:webHidden/>
              </w:rPr>
            </w:r>
            <w:r>
              <w:rPr>
                <w:noProof/>
                <w:webHidden/>
              </w:rPr>
              <w:fldChar w:fldCharType="separate"/>
            </w:r>
            <w:r w:rsidR="00B07F02">
              <w:rPr>
                <w:noProof/>
                <w:webHidden/>
              </w:rPr>
              <w:t>11</w:t>
            </w:r>
            <w:r>
              <w:rPr>
                <w:noProof/>
                <w:webHidden/>
              </w:rPr>
              <w:fldChar w:fldCharType="end"/>
            </w:r>
          </w:hyperlink>
        </w:p>
        <w:p w14:paraId="4A1BF6E8" w14:textId="35B899C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8" w:history="1">
            <w:r w:rsidRPr="00FD65DA">
              <w:rPr>
                <w:rStyle w:val="Hyperlink"/>
                <w:noProof/>
              </w:rPr>
              <w:t>4.1 How are employer asset shares calculated?</w:t>
            </w:r>
            <w:r>
              <w:rPr>
                <w:noProof/>
                <w:webHidden/>
              </w:rPr>
              <w:tab/>
            </w:r>
            <w:r>
              <w:rPr>
                <w:noProof/>
                <w:webHidden/>
              </w:rPr>
              <w:fldChar w:fldCharType="begin"/>
            </w:r>
            <w:r>
              <w:rPr>
                <w:noProof/>
                <w:webHidden/>
              </w:rPr>
              <w:instrText xml:space="preserve"> PAGEREF _Toc194482878 \h </w:instrText>
            </w:r>
            <w:r>
              <w:rPr>
                <w:noProof/>
                <w:webHidden/>
              </w:rPr>
            </w:r>
            <w:r>
              <w:rPr>
                <w:noProof/>
                <w:webHidden/>
              </w:rPr>
              <w:fldChar w:fldCharType="separate"/>
            </w:r>
            <w:r w:rsidR="00B07F02">
              <w:rPr>
                <w:noProof/>
                <w:webHidden/>
              </w:rPr>
              <w:t>11</w:t>
            </w:r>
            <w:r>
              <w:rPr>
                <w:noProof/>
                <w:webHidden/>
              </w:rPr>
              <w:fldChar w:fldCharType="end"/>
            </w:r>
          </w:hyperlink>
        </w:p>
        <w:p w14:paraId="2DDBEEC9" w14:textId="4AA6B95C"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9" w:history="1">
            <w:r w:rsidRPr="00FD65DA">
              <w:rPr>
                <w:rStyle w:val="Hyperlink"/>
                <w:noProof/>
              </w:rPr>
              <w:t>4.2 How are employer liabilities calculated?</w:t>
            </w:r>
            <w:r>
              <w:rPr>
                <w:noProof/>
                <w:webHidden/>
              </w:rPr>
              <w:tab/>
            </w:r>
            <w:r>
              <w:rPr>
                <w:noProof/>
                <w:webHidden/>
              </w:rPr>
              <w:fldChar w:fldCharType="begin"/>
            </w:r>
            <w:r>
              <w:rPr>
                <w:noProof/>
                <w:webHidden/>
              </w:rPr>
              <w:instrText xml:space="preserve"> PAGEREF _Toc194482879 \h </w:instrText>
            </w:r>
            <w:r>
              <w:rPr>
                <w:noProof/>
                <w:webHidden/>
              </w:rPr>
            </w:r>
            <w:r>
              <w:rPr>
                <w:noProof/>
                <w:webHidden/>
              </w:rPr>
              <w:fldChar w:fldCharType="separate"/>
            </w:r>
            <w:r w:rsidR="00B07F02">
              <w:rPr>
                <w:noProof/>
                <w:webHidden/>
              </w:rPr>
              <w:t>11</w:t>
            </w:r>
            <w:r>
              <w:rPr>
                <w:noProof/>
                <w:webHidden/>
              </w:rPr>
              <w:fldChar w:fldCharType="end"/>
            </w:r>
          </w:hyperlink>
        </w:p>
        <w:p w14:paraId="696459F4" w14:textId="68EC3279" w:rsidR="00BB1489" w:rsidRDefault="00BB1489">
          <w:pPr>
            <w:pStyle w:val="TOC2"/>
            <w:tabs>
              <w:tab w:val="right" w:leader="dot" w:pos="9322"/>
            </w:tabs>
            <w:rPr>
              <w:rStyle w:val="Hyperlink"/>
              <w:noProof/>
            </w:rPr>
          </w:pPr>
          <w:hyperlink w:anchor="_Toc194482880" w:history="1">
            <w:r w:rsidRPr="00FD65DA">
              <w:rPr>
                <w:rStyle w:val="Hyperlink"/>
                <w:noProof/>
              </w:rPr>
              <w:t>4.3 What is a Funding level?</w:t>
            </w:r>
            <w:r>
              <w:rPr>
                <w:noProof/>
                <w:webHidden/>
              </w:rPr>
              <w:tab/>
            </w:r>
            <w:r>
              <w:rPr>
                <w:noProof/>
                <w:webHidden/>
              </w:rPr>
              <w:fldChar w:fldCharType="begin"/>
            </w:r>
            <w:r>
              <w:rPr>
                <w:noProof/>
                <w:webHidden/>
              </w:rPr>
              <w:instrText xml:space="preserve"> PAGEREF _Toc194482880 \h </w:instrText>
            </w:r>
            <w:r>
              <w:rPr>
                <w:noProof/>
                <w:webHidden/>
              </w:rPr>
            </w:r>
            <w:r>
              <w:rPr>
                <w:noProof/>
                <w:webHidden/>
              </w:rPr>
              <w:fldChar w:fldCharType="separate"/>
            </w:r>
            <w:r w:rsidR="00B07F02">
              <w:rPr>
                <w:noProof/>
                <w:webHidden/>
              </w:rPr>
              <w:t>11</w:t>
            </w:r>
            <w:r>
              <w:rPr>
                <w:noProof/>
                <w:webHidden/>
              </w:rPr>
              <w:fldChar w:fldCharType="end"/>
            </w:r>
          </w:hyperlink>
        </w:p>
        <w:p w14:paraId="74E0C435" w14:textId="77777777" w:rsidR="00DD160A" w:rsidRPr="002A0BE3" w:rsidRDefault="00DD160A" w:rsidP="00095331">
          <w:pPr>
            <w:rPr>
              <w:noProof/>
            </w:rPr>
          </w:pPr>
        </w:p>
        <w:p w14:paraId="329C0813" w14:textId="7E719EDE" w:rsidR="00DD160A" w:rsidRPr="002A0BE3" w:rsidRDefault="00DD160A" w:rsidP="002A0BE3">
          <w:pPr>
            <w:pStyle w:val="BodyTextGrey"/>
            <w:spacing w:before="120" w:after="160" w:line="259" w:lineRule="auto"/>
            <w:rPr>
              <w:rFonts w:eastAsiaTheme="minorHAnsi"/>
              <w:b/>
              <w:bCs/>
              <w:noProof/>
              <w:sz w:val="22"/>
              <w:szCs w:val="22"/>
            </w:rPr>
          </w:pPr>
          <w:r w:rsidRPr="002A0BE3">
            <w:rPr>
              <w:rFonts w:asciiTheme="minorHAnsi" w:eastAsiaTheme="minorHAnsi" w:hAnsiTheme="minorHAnsi" w:cstheme="minorBidi"/>
              <w:b/>
              <w:bCs/>
              <w:iCs w:val="0"/>
              <w:noProof/>
              <w:color w:val="auto"/>
              <w:sz w:val="22"/>
              <w:szCs w:val="22"/>
            </w:rPr>
            <w:t>Part B - Employer events</w:t>
          </w:r>
        </w:p>
        <w:p w14:paraId="49DBC3AD" w14:textId="3FE72195"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81" w:history="1">
            <w:r w:rsidRPr="00FD65DA">
              <w:rPr>
                <w:rStyle w:val="Hyperlink"/>
                <w:noProof/>
              </w:rPr>
              <w:t>5. What happens when an employer joins the Fund?</w:t>
            </w:r>
            <w:r>
              <w:rPr>
                <w:noProof/>
                <w:webHidden/>
              </w:rPr>
              <w:tab/>
            </w:r>
            <w:r>
              <w:rPr>
                <w:noProof/>
                <w:webHidden/>
              </w:rPr>
              <w:fldChar w:fldCharType="begin"/>
            </w:r>
            <w:r>
              <w:rPr>
                <w:noProof/>
                <w:webHidden/>
              </w:rPr>
              <w:instrText xml:space="preserve"> PAGEREF _Toc194482881 \h </w:instrText>
            </w:r>
            <w:r>
              <w:rPr>
                <w:noProof/>
                <w:webHidden/>
              </w:rPr>
            </w:r>
            <w:r>
              <w:rPr>
                <w:noProof/>
                <w:webHidden/>
              </w:rPr>
              <w:fldChar w:fldCharType="separate"/>
            </w:r>
            <w:r w:rsidR="00B07F02">
              <w:rPr>
                <w:noProof/>
                <w:webHidden/>
              </w:rPr>
              <w:t>12</w:t>
            </w:r>
            <w:r>
              <w:rPr>
                <w:noProof/>
                <w:webHidden/>
              </w:rPr>
              <w:fldChar w:fldCharType="end"/>
            </w:r>
          </w:hyperlink>
        </w:p>
        <w:p w14:paraId="0EEE9C1E" w14:textId="6BF56774"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2" w:history="1">
            <w:r w:rsidRPr="00FD65DA">
              <w:rPr>
                <w:rStyle w:val="Hyperlink"/>
                <w:noProof/>
              </w:rPr>
              <w:t>5.1 When can an employer join the Fund?</w:t>
            </w:r>
            <w:r>
              <w:rPr>
                <w:noProof/>
                <w:webHidden/>
              </w:rPr>
              <w:tab/>
            </w:r>
            <w:r>
              <w:rPr>
                <w:noProof/>
                <w:webHidden/>
              </w:rPr>
              <w:fldChar w:fldCharType="begin"/>
            </w:r>
            <w:r>
              <w:rPr>
                <w:noProof/>
                <w:webHidden/>
              </w:rPr>
              <w:instrText xml:space="preserve"> PAGEREF _Toc194482882 \h </w:instrText>
            </w:r>
            <w:r>
              <w:rPr>
                <w:noProof/>
                <w:webHidden/>
              </w:rPr>
            </w:r>
            <w:r>
              <w:rPr>
                <w:noProof/>
                <w:webHidden/>
              </w:rPr>
              <w:fldChar w:fldCharType="separate"/>
            </w:r>
            <w:r w:rsidR="00B07F02">
              <w:rPr>
                <w:noProof/>
                <w:webHidden/>
              </w:rPr>
              <w:t>12</w:t>
            </w:r>
            <w:r>
              <w:rPr>
                <w:noProof/>
                <w:webHidden/>
              </w:rPr>
              <w:fldChar w:fldCharType="end"/>
            </w:r>
          </w:hyperlink>
        </w:p>
        <w:p w14:paraId="72E7DD53" w14:textId="158171F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3" w:history="1">
            <w:r w:rsidRPr="00FD65DA">
              <w:rPr>
                <w:rStyle w:val="Hyperlink"/>
                <w:noProof/>
              </w:rPr>
              <w:t>5.2 New academies</w:t>
            </w:r>
            <w:r>
              <w:rPr>
                <w:noProof/>
                <w:webHidden/>
              </w:rPr>
              <w:tab/>
            </w:r>
            <w:r>
              <w:rPr>
                <w:noProof/>
                <w:webHidden/>
              </w:rPr>
              <w:fldChar w:fldCharType="begin"/>
            </w:r>
            <w:r>
              <w:rPr>
                <w:noProof/>
                <w:webHidden/>
              </w:rPr>
              <w:instrText xml:space="preserve"> PAGEREF _Toc194482883 \h </w:instrText>
            </w:r>
            <w:r>
              <w:rPr>
                <w:noProof/>
                <w:webHidden/>
              </w:rPr>
            </w:r>
            <w:r>
              <w:rPr>
                <w:noProof/>
                <w:webHidden/>
              </w:rPr>
              <w:fldChar w:fldCharType="separate"/>
            </w:r>
            <w:r w:rsidR="00B07F02">
              <w:rPr>
                <w:noProof/>
                <w:webHidden/>
              </w:rPr>
              <w:t>12</w:t>
            </w:r>
            <w:r>
              <w:rPr>
                <w:noProof/>
                <w:webHidden/>
              </w:rPr>
              <w:fldChar w:fldCharType="end"/>
            </w:r>
          </w:hyperlink>
        </w:p>
        <w:p w14:paraId="44229C5C" w14:textId="090A5A17"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4" w:history="1">
            <w:r w:rsidRPr="00FD65DA">
              <w:rPr>
                <w:rStyle w:val="Hyperlink"/>
                <w:noProof/>
              </w:rPr>
              <w:t>5.3 New admission bodies as a result of outsourcing services</w:t>
            </w:r>
            <w:r>
              <w:rPr>
                <w:noProof/>
                <w:webHidden/>
              </w:rPr>
              <w:tab/>
            </w:r>
            <w:r>
              <w:rPr>
                <w:noProof/>
                <w:webHidden/>
              </w:rPr>
              <w:fldChar w:fldCharType="begin"/>
            </w:r>
            <w:r>
              <w:rPr>
                <w:noProof/>
                <w:webHidden/>
              </w:rPr>
              <w:instrText xml:space="preserve"> PAGEREF _Toc194482884 \h </w:instrText>
            </w:r>
            <w:r>
              <w:rPr>
                <w:noProof/>
                <w:webHidden/>
              </w:rPr>
            </w:r>
            <w:r>
              <w:rPr>
                <w:noProof/>
                <w:webHidden/>
              </w:rPr>
              <w:fldChar w:fldCharType="separate"/>
            </w:r>
            <w:r w:rsidR="00B07F02">
              <w:rPr>
                <w:noProof/>
                <w:webHidden/>
              </w:rPr>
              <w:t>12</w:t>
            </w:r>
            <w:r>
              <w:rPr>
                <w:noProof/>
                <w:webHidden/>
              </w:rPr>
              <w:fldChar w:fldCharType="end"/>
            </w:r>
          </w:hyperlink>
        </w:p>
        <w:p w14:paraId="7ED53BC7" w14:textId="6878012C"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85" w:history="1">
            <w:r w:rsidRPr="00FD65DA">
              <w:rPr>
                <w:rStyle w:val="Hyperlink"/>
                <w:noProof/>
              </w:rPr>
              <w:t>i) Pass-through admissions</w:t>
            </w:r>
            <w:r>
              <w:rPr>
                <w:noProof/>
                <w:webHidden/>
              </w:rPr>
              <w:tab/>
            </w:r>
            <w:r>
              <w:rPr>
                <w:noProof/>
                <w:webHidden/>
              </w:rPr>
              <w:fldChar w:fldCharType="begin"/>
            </w:r>
            <w:r>
              <w:rPr>
                <w:noProof/>
                <w:webHidden/>
              </w:rPr>
              <w:instrText xml:space="preserve"> PAGEREF _Toc194482885 \h </w:instrText>
            </w:r>
            <w:r>
              <w:rPr>
                <w:noProof/>
                <w:webHidden/>
              </w:rPr>
            </w:r>
            <w:r>
              <w:rPr>
                <w:noProof/>
                <w:webHidden/>
              </w:rPr>
              <w:fldChar w:fldCharType="separate"/>
            </w:r>
            <w:r w:rsidR="00B07F02">
              <w:rPr>
                <w:noProof/>
                <w:webHidden/>
              </w:rPr>
              <w:t>13</w:t>
            </w:r>
            <w:r>
              <w:rPr>
                <w:noProof/>
                <w:webHidden/>
              </w:rPr>
              <w:fldChar w:fldCharType="end"/>
            </w:r>
          </w:hyperlink>
        </w:p>
        <w:p w14:paraId="556330A3" w14:textId="72C1941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86" w:history="1">
            <w:r w:rsidRPr="00FD65DA">
              <w:rPr>
                <w:rStyle w:val="Hyperlink"/>
                <w:noProof/>
              </w:rPr>
              <w:t>(ii) Other admissions</w:t>
            </w:r>
            <w:r>
              <w:rPr>
                <w:noProof/>
                <w:webHidden/>
              </w:rPr>
              <w:tab/>
            </w:r>
            <w:r>
              <w:rPr>
                <w:noProof/>
                <w:webHidden/>
              </w:rPr>
              <w:fldChar w:fldCharType="begin"/>
            </w:r>
            <w:r>
              <w:rPr>
                <w:noProof/>
                <w:webHidden/>
              </w:rPr>
              <w:instrText xml:space="preserve"> PAGEREF _Toc194482886 \h </w:instrText>
            </w:r>
            <w:r>
              <w:rPr>
                <w:noProof/>
                <w:webHidden/>
              </w:rPr>
            </w:r>
            <w:r>
              <w:rPr>
                <w:noProof/>
                <w:webHidden/>
              </w:rPr>
              <w:fldChar w:fldCharType="separate"/>
            </w:r>
            <w:r w:rsidR="00B07F02">
              <w:rPr>
                <w:noProof/>
                <w:webHidden/>
              </w:rPr>
              <w:t>13</w:t>
            </w:r>
            <w:r>
              <w:rPr>
                <w:noProof/>
                <w:webHidden/>
              </w:rPr>
              <w:fldChar w:fldCharType="end"/>
            </w:r>
          </w:hyperlink>
        </w:p>
        <w:p w14:paraId="594DB40E" w14:textId="6AD56CD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7" w:history="1">
            <w:r w:rsidRPr="00FD65DA">
              <w:rPr>
                <w:rStyle w:val="Hyperlink"/>
                <w:noProof/>
              </w:rPr>
              <w:t>5.4 Other new employers</w:t>
            </w:r>
            <w:r>
              <w:rPr>
                <w:noProof/>
                <w:webHidden/>
              </w:rPr>
              <w:tab/>
            </w:r>
            <w:r>
              <w:rPr>
                <w:noProof/>
                <w:webHidden/>
              </w:rPr>
              <w:fldChar w:fldCharType="begin"/>
            </w:r>
            <w:r>
              <w:rPr>
                <w:noProof/>
                <w:webHidden/>
              </w:rPr>
              <w:instrText xml:space="preserve"> PAGEREF _Toc194482887 \h </w:instrText>
            </w:r>
            <w:r>
              <w:rPr>
                <w:noProof/>
                <w:webHidden/>
              </w:rPr>
            </w:r>
            <w:r>
              <w:rPr>
                <w:noProof/>
                <w:webHidden/>
              </w:rPr>
              <w:fldChar w:fldCharType="separate"/>
            </w:r>
            <w:r w:rsidR="00B07F02">
              <w:rPr>
                <w:noProof/>
                <w:webHidden/>
              </w:rPr>
              <w:t>13</w:t>
            </w:r>
            <w:r>
              <w:rPr>
                <w:noProof/>
                <w:webHidden/>
              </w:rPr>
              <w:fldChar w:fldCharType="end"/>
            </w:r>
          </w:hyperlink>
        </w:p>
        <w:p w14:paraId="15016AEF" w14:textId="6A4595F0"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8" w:history="1">
            <w:r w:rsidRPr="00FD65DA">
              <w:rPr>
                <w:rStyle w:val="Hyperlink"/>
                <w:noProof/>
              </w:rPr>
              <w:t>5.5 Risk assessment for new admission bodies</w:t>
            </w:r>
            <w:r>
              <w:rPr>
                <w:noProof/>
                <w:webHidden/>
              </w:rPr>
              <w:tab/>
            </w:r>
            <w:r>
              <w:rPr>
                <w:noProof/>
                <w:webHidden/>
              </w:rPr>
              <w:fldChar w:fldCharType="begin"/>
            </w:r>
            <w:r>
              <w:rPr>
                <w:noProof/>
                <w:webHidden/>
              </w:rPr>
              <w:instrText xml:space="preserve"> PAGEREF _Toc194482888 \h </w:instrText>
            </w:r>
            <w:r>
              <w:rPr>
                <w:noProof/>
                <w:webHidden/>
              </w:rPr>
            </w:r>
            <w:r>
              <w:rPr>
                <w:noProof/>
                <w:webHidden/>
              </w:rPr>
              <w:fldChar w:fldCharType="separate"/>
            </w:r>
            <w:r w:rsidR="00B07F02">
              <w:rPr>
                <w:noProof/>
                <w:webHidden/>
              </w:rPr>
              <w:t>13</w:t>
            </w:r>
            <w:r>
              <w:rPr>
                <w:noProof/>
                <w:webHidden/>
              </w:rPr>
              <w:fldChar w:fldCharType="end"/>
            </w:r>
          </w:hyperlink>
        </w:p>
        <w:p w14:paraId="7270113D" w14:textId="54EA2270"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89" w:history="1">
            <w:r w:rsidRPr="00FD65DA">
              <w:rPr>
                <w:rStyle w:val="Hyperlink"/>
                <w:noProof/>
              </w:rPr>
              <w:t>6. What happens if an employer has a bulk transfer of staff?</w:t>
            </w:r>
            <w:r>
              <w:rPr>
                <w:noProof/>
                <w:webHidden/>
              </w:rPr>
              <w:tab/>
            </w:r>
            <w:r>
              <w:rPr>
                <w:noProof/>
                <w:webHidden/>
              </w:rPr>
              <w:fldChar w:fldCharType="begin"/>
            </w:r>
            <w:r>
              <w:rPr>
                <w:noProof/>
                <w:webHidden/>
              </w:rPr>
              <w:instrText xml:space="preserve"> PAGEREF _Toc194482889 \h </w:instrText>
            </w:r>
            <w:r>
              <w:rPr>
                <w:noProof/>
                <w:webHidden/>
              </w:rPr>
            </w:r>
            <w:r>
              <w:rPr>
                <w:noProof/>
                <w:webHidden/>
              </w:rPr>
              <w:fldChar w:fldCharType="separate"/>
            </w:r>
            <w:r w:rsidR="00B07F02">
              <w:rPr>
                <w:noProof/>
                <w:webHidden/>
              </w:rPr>
              <w:t>14</w:t>
            </w:r>
            <w:r>
              <w:rPr>
                <w:noProof/>
                <w:webHidden/>
              </w:rPr>
              <w:fldChar w:fldCharType="end"/>
            </w:r>
          </w:hyperlink>
        </w:p>
        <w:p w14:paraId="505236C3" w14:textId="32827410"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90" w:history="1">
            <w:r w:rsidRPr="00FD65DA">
              <w:rPr>
                <w:rStyle w:val="Hyperlink"/>
                <w:noProof/>
              </w:rPr>
              <w:t>7. What happens when an employer leaves the Fund?</w:t>
            </w:r>
            <w:r>
              <w:rPr>
                <w:noProof/>
                <w:webHidden/>
              </w:rPr>
              <w:tab/>
            </w:r>
            <w:r>
              <w:rPr>
                <w:noProof/>
                <w:webHidden/>
              </w:rPr>
              <w:fldChar w:fldCharType="begin"/>
            </w:r>
            <w:r>
              <w:rPr>
                <w:noProof/>
                <w:webHidden/>
              </w:rPr>
              <w:instrText xml:space="preserve"> PAGEREF _Toc194482890 \h </w:instrText>
            </w:r>
            <w:r>
              <w:rPr>
                <w:noProof/>
                <w:webHidden/>
              </w:rPr>
            </w:r>
            <w:r>
              <w:rPr>
                <w:noProof/>
                <w:webHidden/>
              </w:rPr>
              <w:fldChar w:fldCharType="separate"/>
            </w:r>
            <w:r w:rsidR="00B07F02">
              <w:rPr>
                <w:noProof/>
                <w:webHidden/>
              </w:rPr>
              <w:t>15</w:t>
            </w:r>
            <w:r>
              <w:rPr>
                <w:noProof/>
                <w:webHidden/>
              </w:rPr>
              <w:fldChar w:fldCharType="end"/>
            </w:r>
          </w:hyperlink>
        </w:p>
        <w:p w14:paraId="7D0BBC5D" w14:textId="0482A1C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1" w:history="1">
            <w:r w:rsidRPr="00FD65DA">
              <w:rPr>
                <w:rStyle w:val="Hyperlink"/>
                <w:noProof/>
              </w:rPr>
              <w:t>7.1 What is a cessation event?</w:t>
            </w:r>
            <w:r>
              <w:rPr>
                <w:noProof/>
                <w:webHidden/>
              </w:rPr>
              <w:tab/>
            </w:r>
            <w:r>
              <w:rPr>
                <w:noProof/>
                <w:webHidden/>
              </w:rPr>
              <w:fldChar w:fldCharType="begin"/>
            </w:r>
            <w:r>
              <w:rPr>
                <w:noProof/>
                <w:webHidden/>
              </w:rPr>
              <w:instrText xml:space="preserve"> PAGEREF _Toc194482891 \h </w:instrText>
            </w:r>
            <w:r>
              <w:rPr>
                <w:noProof/>
                <w:webHidden/>
              </w:rPr>
            </w:r>
            <w:r>
              <w:rPr>
                <w:noProof/>
                <w:webHidden/>
              </w:rPr>
              <w:fldChar w:fldCharType="separate"/>
            </w:r>
            <w:r w:rsidR="00B07F02">
              <w:rPr>
                <w:noProof/>
                <w:webHidden/>
              </w:rPr>
              <w:t>15</w:t>
            </w:r>
            <w:r>
              <w:rPr>
                <w:noProof/>
                <w:webHidden/>
              </w:rPr>
              <w:fldChar w:fldCharType="end"/>
            </w:r>
          </w:hyperlink>
        </w:p>
        <w:p w14:paraId="464640B5" w14:textId="7F7C53FE"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2" w:history="1">
            <w:r w:rsidRPr="00FD65DA">
              <w:rPr>
                <w:rStyle w:val="Hyperlink"/>
                <w:noProof/>
              </w:rPr>
              <w:t>7.2 What happens on a cessation?</w:t>
            </w:r>
            <w:r>
              <w:rPr>
                <w:noProof/>
                <w:webHidden/>
              </w:rPr>
              <w:tab/>
            </w:r>
            <w:r>
              <w:rPr>
                <w:noProof/>
                <w:webHidden/>
              </w:rPr>
              <w:fldChar w:fldCharType="begin"/>
            </w:r>
            <w:r>
              <w:rPr>
                <w:noProof/>
                <w:webHidden/>
              </w:rPr>
              <w:instrText xml:space="preserve"> PAGEREF _Toc194482892 \h </w:instrText>
            </w:r>
            <w:r>
              <w:rPr>
                <w:noProof/>
                <w:webHidden/>
              </w:rPr>
            </w:r>
            <w:r>
              <w:rPr>
                <w:noProof/>
                <w:webHidden/>
              </w:rPr>
              <w:fldChar w:fldCharType="separate"/>
            </w:r>
            <w:r w:rsidR="00B07F02">
              <w:rPr>
                <w:noProof/>
                <w:webHidden/>
              </w:rPr>
              <w:t>15</w:t>
            </w:r>
            <w:r>
              <w:rPr>
                <w:noProof/>
                <w:webHidden/>
              </w:rPr>
              <w:fldChar w:fldCharType="end"/>
            </w:r>
          </w:hyperlink>
        </w:p>
        <w:p w14:paraId="102D4296" w14:textId="68175526"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3" w:history="1">
            <w:r w:rsidRPr="00FD65DA">
              <w:rPr>
                <w:rStyle w:val="Hyperlink"/>
                <w:noProof/>
              </w:rPr>
              <w:t>7.3 How do employers repay cessation debts?</w:t>
            </w:r>
            <w:r>
              <w:rPr>
                <w:noProof/>
                <w:webHidden/>
              </w:rPr>
              <w:tab/>
            </w:r>
            <w:r>
              <w:rPr>
                <w:noProof/>
                <w:webHidden/>
              </w:rPr>
              <w:fldChar w:fldCharType="begin"/>
            </w:r>
            <w:r>
              <w:rPr>
                <w:noProof/>
                <w:webHidden/>
              </w:rPr>
              <w:instrText xml:space="preserve"> PAGEREF _Toc194482893 \h </w:instrText>
            </w:r>
            <w:r>
              <w:rPr>
                <w:noProof/>
                <w:webHidden/>
              </w:rPr>
            </w:r>
            <w:r>
              <w:rPr>
                <w:noProof/>
                <w:webHidden/>
              </w:rPr>
              <w:fldChar w:fldCharType="separate"/>
            </w:r>
            <w:r w:rsidR="00B07F02">
              <w:rPr>
                <w:noProof/>
                <w:webHidden/>
              </w:rPr>
              <w:t>16</w:t>
            </w:r>
            <w:r>
              <w:rPr>
                <w:noProof/>
                <w:webHidden/>
              </w:rPr>
              <w:fldChar w:fldCharType="end"/>
            </w:r>
          </w:hyperlink>
        </w:p>
        <w:p w14:paraId="33603E5F" w14:textId="722D2DD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4" w:history="1">
            <w:r w:rsidRPr="00FD65DA">
              <w:rPr>
                <w:rStyle w:val="Hyperlink"/>
                <w:noProof/>
              </w:rPr>
              <w:t>7.4 What if an employer has no active members?</w:t>
            </w:r>
            <w:r>
              <w:rPr>
                <w:noProof/>
                <w:webHidden/>
              </w:rPr>
              <w:tab/>
            </w:r>
            <w:r>
              <w:rPr>
                <w:noProof/>
                <w:webHidden/>
              </w:rPr>
              <w:fldChar w:fldCharType="begin"/>
            </w:r>
            <w:r>
              <w:rPr>
                <w:noProof/>
                <w:webHidden/>
              </w:rPr>
              <w:instrText xml:space="preserve"> PAGEREF _Toc194482894 \h </w:instrText>
            </w:r>
            <w:r>
              <w:rPr>
                <w:noProof/>
                <w:webHidden/>
              </w:rPr>
            </w:r>
            <w:r>
              <w:rPr>
                <w:noProof/>
                <w:webHidden/>
              </w:rPr>
              <w:fldChar w:fldCharType="separate"/>
            </w:r>
            <w:r w:rsidR="00B07F02">
              <w:rPr>
                <w:noProof/>
                <w:webHidden/>
              </w:rPr>
              <w:t>16</w:t>
            </w:r>
            <w:r>
              <w:rPr>
                <w:noProof/>
                <w:webHidden/>
              </w:rPr>
              <w:fldChar w:fldCharType="end"/>
            </w:r>
          </w:hyperlink>
        </w:p>
        <w:p w14:paraId="0E45A01A" w14:textId="2960596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5" w:history="1">
            <w:r w:rsidRPr="00FD65DA">
              <w:rPr>
                <w:rStyle w:val="Hyperlink"/>
                <w:noProof/>
              </w:rPr>
              <w:t>7.5 What happens if there is a surplus?</w:t>
            </w:r>
            <w:r>
              <w:rPr>
                <w:noProof/>
                <w:webHidden/>
              </w:rPr>
              <w:tab/>
            </w:r>
            <w:r>
              <w:rPr>
                <w:noProof/>
                <w:webHidden/>
              </w:rPr>
              <w:fldChar w:fldCharType="begin"/>
            </w:r>
            <w:r>
              <w:rPr>
                <w:noProof/>
                <w:webHidden/>
              </w:rPr>
              <w:instrText xml:space="preserve"> PAGEREF _Toc194482895 \h </w:instrText>
            </w:r>
            <w:r>
              <w:rPr>
                <w:noProof/>
                <w:webHidden/>
              </w:rPr>
            </w:r>
            <w:r>
              <w:rPr>
                <w:noProof/>
                <w:webHidden/>
              </w:rPr>
              <w:fldChar w:fldCharType="separate"/>
            </w:r>
            <w:r w:rsidR="00B07F02">
              <w:rPr>
                <w:noProof/>
                <w:webHidden/>
              </w:rPr>
              <w:t>16</w:t>
            </w:r>
            <w:r>
              <w:rPr>
                <w:noProof/>
                <w:webHidden/>
              </w:rPr>
              <w:fldChar w:fldCharType="end"/>
            </w:r>
          </w:hyperlink>
        </w:p>
        <w:p w14:paraId="201BB3E7" w14:textId="2AF01D9D"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6" w:history="1">
            <w:r w:rsidRPr="00FD65DA">
              <w:rPr>
                <w:rStyle w:val="Hyperlink"/>
                <w:noProof/>
              </w:rPr>
              <w:t>7.6 Partial cessation</w:t>
            </w:r>
            <w:r>
              <w:rPr>
                <w:noProof/>
                <w:webHidden/>
              </w:rPr>
              <w:tab/>
            </w:r>
            <w:r>
              <w:rPr>
                <w:noProof/>
                <w:webHidden/>
              </w:rPr>
              <w:fldChar w:fldCharType="begin"/>
            </w:r>
            <w:r>
              <w:rPr>
                <w:noProof/>
                <w:webHidden/>
              </w:rPr>
              <w:instrText xml:space="preserve"> PAGEREF _Toc194482896 \h </w:instrText>
            </w:r>
            <w:r>
              <w:rPr>
                <w:noProof/>
                <w:webHidden/>
              </w:rPr>
            </w:r>
            <w:r>
              <w:rPr>
                <w:noProof/>
                <w:webHidden/>
              </w:rPr>
              <w:fldChar w:fldCharType="separate"/>
            </w:r>
            <w:r w:rsidR="00B07F02">
              <w:rPr>
                <w:noProof/>
                <w:webHidden/>
              </w:rPr>
              <w:t>16</w:t>
            </w:r>
            <w:r>
              <w:rPr>
                <w:noProof/>
                <w:webHidden/>
              </w:rPr>
              <w:fldChar w:fldCharType="end"/>
            </w:r>
          </w:hyperlink>
        </w:p>
        <w:p w14:paraId="61D17012" w14:textId="0B9F7F4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97" w:history="1">
            <w:r w:rsidRPr="00FD65DA">
              <w:rPr>
                <w:rStyle w:val="Hyperlink"/>
                <w:noProof/>
              </w:rPr>
              <w:t>8. What are the statutory reporting requirements?</w:t>
            </w:r>
            <w:r>
              <w:rPr>
                <w:noProof/>
                <w:webHidden/>
              </w:rPr>
              <w:tab/>
            </w:r>
            <w:r>
              <w:rPr>
                <w:noProof/>
                <w:webHidden/>
              </w:rPr>
              <w:fldChar w:fldCharType="begin"/>
            </w:r>
            <w:r>
              <w:rPr>
                <w:noProof/>
                <w:webHidden/>
              </w:rPr>
              <w:instrText xml:space="preserve"> PAGEREF _Toc194482897 \h </w:instrText>
            </w:r>
            <w:r>
              <w:rPr>
                <w:noProof/>
                <w:webHidden/>
              </w:rPr>
            </w:r>
            <w:r>
              <w:rPr>
                <w:noProof/>
                <w:webHidden/>
              </w:rPr>
              <w:fldChar w:fldCharType="separate"/>
            </w:r>
            <w:r w:rsidR="00B07F02">
              <w:rPr>
                <w:noProof/>
                <w:webHidden/>
              </w:rPr>
              <w:t>17</w:t>
            </w:r>
            <w:r>
              <w:rPr>
                <w:noProof/>
                <w:webHidden/>
              </w:rPr>
              <w:fldChar w:fldCharType="end"/>
            </w:r>
          </w:hyperlink>
        </w:p>
        <w:p w14:paraId="3AC5437F" w14:textId="62C270E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8" w:history="1">
            <w:r w:rsidRPr="00FD65DA">
              <w:rPr>
                <w:rStyle w:val="Hyperlink"/>
                <w:noProof/>
              </w:rPr>
              <w:t>8.1 Reporting regulations</w:t>
            </w:r>
            <w:r>
              <w:rPr>
                <w:noProof/>
                <w:webHidden/>
              </w:rPr>
              <w:tab/>
            </w:r>
            <w:r>
              <w:rPr>
                <w:noProof/>
                <w:webHidden/>
              </w:rPr>
              <w:fldChar w:fldCharType="begin"/>
            </w:r>
            <w:r>
              <w:rPr>
                <w:noProof/>
                <w:webHidden/>
              </w:rPr>
              <w:instrText xml:space="preserve"> PAGEREF _Toc194482898 \h </w:instrText>
            </w:r>
            <w:r>
              <w:rPr>
                <w:noProof/>
                <w:webHidden/>
              </w:rPr>
            </w:r>
            <w:r>
              <w:rPr>
                <w:noProof/>
                <w:webHidden/>
              </w:rPr>
              <w:fldChar w:fldCharType="separate"/>
            </w:r>
            <w:r w:rsidR="00B07F02">
              <w:rPr>
                <w:noProof/>
                <w:webHidden/>
              </w:rPr>
              <w:t>17</w:t>
            </w:r>
            <w:r>
              <w:rPr>
                <w:noProof/>
                <w:webHidden/>
              </w:rPr>
              <w:fldChar w:fldCharType="end"/>
            </w:r>
          </w:hyperlink>
        </w:p>
        <w:p w14:paraId="3CBB3AA0" w14:textId="1F3A1BC7"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9" w:history="1">
            <w:r w:rsidRPr="00FD65DA">
              <w:rPr>
                <w:rStyle w:val="Hyperlink"/>
                <w:noProof/>
              </w:rPr>
              <w:t>8.2 Solvency</w:t>
            </w:r>
            <w:r>
              <w:rPr>
                <w:noProof/>
                <w:webHidden/>
              </w:rPr>
              <w:tab/>
            </w:r>
            <w:r>
              <w:rPr>
                <w:noProof/>
                <w:webHidden/>
              </w:rPr>
              <w:fldChar w:fldCharType="begin"/>
            </w:r>
            <w:r>
              <w:rPr>
                <w:noProof/>
                <w:webHidden/>
              </w:rPr>
              <w:instrText xml:space="preserve"> PAGEREF _Toc194482899 \h </w:instrText>
            </w:r>
            <w:r>
              <w:rPr>
                <w:noProof/>
                <w:webHidden/>
              </w:rPr>
            </w:r>
            <w:r>
              <w:rPr>
                <w:noProof/>
                <w:webHidden/>
              </w:rPr>
              <w:fldChar w:fldCharType="separate"/>
            </w:r>
            <w:r w:rsidR="00B07F02">
              <w:rPr>
                <w:noProof/>
                <w:webHidden/>
              </w:rPr>
              <w:t>17</w:t>
            </w:r>
            <w:r>
              <w:rPr>
                <w:noProof/>
                <w:webHidden/>
              </w:rPr>
              <w:fldChar w:fldCharType="end"/>
            </w:r>
          </w:hyperlink>
        </w:p>
        <w:p w14:paraId="75C4DDA5" w14:textId="45331A1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0" w:history="1">
            <w:r w:rsidRPr="00FD65DA">
              <w:rPr>
                <w:rStyle w:val="Hyperlink"/>
                <w:noProof/>
              </w:rPr>
              <w:t>8.3 Long term cost efficiency</w:t>
            </w:r>
            <w:r>
              <w:rPr>
                <w:noProof/>
                <w:webHidden/>
              </w:rPr>
              <w:tab/>
            </w:r>
            <w:r>
              <w:rPr>
                <w:noProof/>
                <w:webHidden/>
              </w:rPr>
              <w:fldChar w:fldCharType="begin"/>
            </w:r>
            <w:r>
              <w:rPr>
                <w:noProof/>
                <w:webHidden/>
              </w:rPr>
              <w:instrText xml:space="preserve"> PAGEREF _Toc194482900 \h </w:instrText>
            </w:r>
            <w:r>
              <w:rPr>
                <w:noProof/>
                <w:webHidden/>
              </w:rPr>
            </w:r>
            <w:r>
              <w:rPr>
                <w:noProof/>
                <w:webHidden/>
              </w:rPr>
              <w:fldChar w:fldCharType="separate"/>
            </w:r>
            <w:r w:rsidR="00B07F02">
              <w:rPr>
                <w:noProof/>
                <w:webHidden/>
              </w:rPr>
              <w:t>17</w:t>
            </w:r>
            <w:r>
              <w:rPr>
                <w:noProof/>
                <w:webHidden/>
              </w:rPr>
              <w:fldChar w:fldCharType="end"/>
            </w:r>
          </w:hyperlink>
        </w:p>
        <w:p w14:paraId="1C77F4C3" w14:textId="76C6EBF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901" w:history="1">
            <w:r w:rsidRPr="00FD65DA">
              <w:rPr>
                <w:rStyle w:val="Hyperlink"/>
                <w:noProof/>
              </w:rPr>
              <w:t>Appendices</w:t>
            </w:r>
            <w:r>
              <w:rPr>
                <w:noProof/>
                <w:webHidden/>
              </w:rPr>
              <w:tab/>
            </w:r>
            <w:r>
              <w:rPr>
                <w:noProof/>
                <w:webHidden/>
              </w:rPr>
              <w:fldChar w:fldCharType="begin"/>
            </w:r>
            <w:r>
              <w:rPr>
                <w:noProof/>
                <w:webHidden/>
              </w:rPr>
              <w:instrText xml:space="preserve"> PAGEREF _Toc194482901 \h </w:instrText>
            </w:r>
            <w:r>
              <w:rPr>
                <w:noProof/>
                <w:webHidden/>
              </w:rPr>
            </w:r>
            <w:r>
              <w:rPr>
                <w:noProof/>
                <w:webHidden/>
              </w:rPr>
              <w:fldChar w:fldCharType="separate"/>
            </w:r>
            <w:r w:rsidR="00B07F02">
              <w:rPr>
                <w:noProof/>
                <w:webHidden/>
              </w:rPr>
              <w:t>19</w:t>
            </w:r>
            <w:r>
              <w:rPr>
                <w:noProof/>
                <w:webHidden/>
              </w:rPr>
              <w:fldChar w:fldCharType="end"/>
            </w:r>
          </w:hyperlink>
        </w:p>
        <w:p w14:paraId="40F58D05" w14:textId="492AD3D3"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2" w:history="1">
            <w:r w:rsidRPr="00FD65DA">
              <w:rPr>
                <w:rStyle w:val="Hyperlink"/>
                <w:noProof/>
              </w:rPr>
              <w:t>Appendix A – the regulatory framework</w:t>
            </w:r>
            <w:r>
              <w:rPr>
                <w:noProof/>
                <w:webHidden/>
              </w:rPr>
              <w:tab/>
            </w:r>
            <w:r>
              <w:rPr>
                <w:noProof/>
                <w:webHidden/>
              </w:rPr>
              <w:fldChar w:fldCharType="begin"/>
            </w:r>
            <w:r>
              <w:rPr>
                <w:noProof/>
                <w:webHidden/>
              </w:rPr>
              <w:instrText xml:space="preserve"> PAGEREF _Toc194482902 \h </w:instrText>
            </w:r>
            <w:r>
              <w:rPr>
                <w:noProof/>
                <w:webHidden/>
              </w:rPr>
            </w:r>
            <w:r>
              <w:rPr>
                <w:noProof/>
                <w:webHidden/>
              </w:rPr>
              <w:fldChar w:fldCharType="separate"/>
            </w:r>
            <w:r w:rsidR="00B07F02">
              <w:rPr>
                <w:noProof/>
                <w:webHidden/>
              </w:rPr>
              <w:t>19</w:t>
            </w:r>
            <w:r>
              <w:rPr>
                <w:noProof/>
                <w:webHidden/>
              </w:rPr>
              <w:fldChar w:fldCharType="end"/>
            </w:r>
          </w:hyperlink>
        </w:p>
        <w:p w14:paraId="272FCACA" w14:textId="48921AE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3" w:history="1">
            <w:r w:rsidRPr="00FD65DA">
              <w:rPr>
                <w:rStyle w:val="Hyperlink"/>
                <w:noProof/>
              </w:rPr>
              <w:t>A1 Why do Funds need a Funding strategy statement?</w:t>
            </w:r>
            <w:r>
              <w:rPr>
                <w:noProof/>
                <w:webHidden/>
              </w:rPr>
              <w:tab/>
            </w:r>
            <w:r>
              <w:rPr>
                <w:noProof/>
                <w:webHidden/>
              </w:rPr>
              <w:fldChar w:fldCharType="begin"/>
            </w:r>
            <w:r>
              <w:rPr>
                <w:noProof/>
                <w:webHidden/>
              </w:rPr>
              <w:instrText xml:space="preserve"> PAGEREF _Toc194482903 \h </w:instrText>
            </w:r>
            <w:r>
              <w:rPr>
                <w:noProof/>
                <w:webHidden/>
              </w:rPr>
            </w:r>
            <w:r>
              <w:rPr>
                <w:noProof/>
                <w:webHidden/>
              </w:rPr>
              <w:fldChar w:fldCharType="separate"/>
            </w:r>
            <w:r w:rsidR="00B07F02">
              <w:rPr>
                <w:noProof/>
                <w:webHidden/>
              </w:rPr>
              <w:t>19</w:t>
            </w:r>
            <w:r>
              <w:rPr>
                <w:noProof/>
                <w:webHidden/>
              </w:rPr>
              <w:fldChar w:fldCharType="end"/>
            </w:r>
          </w:hyperlink>
        </w:p>
        <w:p w14:paraId="6F837648" w14:textId="5F48B90C"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4" w:history="1">
            <w:r w:rsidRPr="00FD65DA">
              <w:rPr>
                <w:rStyle w:val="Hyperlink"/>
                <w:noProof/>
              </w:rPr>
              <w:t>A2 Consultation</w:t>
            </w:r>
            <w:r>
              <w:rPr>
                <w:noProof/>
                <w:webHidden/>
              </w:rPr>
              <w:tab/>
            </w:r>
            <w:r>
              <w:rPr>
                <w:noProof/>
                <w:webHidden/>
              </w:rPr>
              <w:fldChar w:fldCharType="begin"/>
            </w:r>
            <w:r>
              <w:rPr>
                <w:noProof/>
                <w:webHidden/>
              </w:rPr>
              <w:instrText xml:space="preserve"> PAGEREF _Toc194482904 \h </w:instrText>
            </w:r>
            <w:r>
              <w:rPr>
                <w:noProof/>
                <w:webHidden/>
              </w:rPr>
            </w:r>
            <w:r>
              <w:rPr>
                <w:noProof/>
                <w:webHidden/>
              </w:rPr>
              <w:fldChar w:fldCharType="separate"/>
            </w:r>
            <w:r w:rsidR="00B07F02">
              <w:rPr>
                <w:noProof/>
                <w:webHidden/>
              </w:rPr>
              <w:t>19</w:t>
            </w:r>
            <w:r>
              <w:rPr>
                <w:noProof/>
                <w:webHidden/>
              </w:rPr>
              <w:fldChar w:fldCharType="end"/>
            </w:r>
          </w:hyperlink>
        </w:p>
        <w:p w14:paraId="215D8C43" w14:textId="5B95F2D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5" w:history="1">
            <w:r w:rsidRPr="00FD65DA">
              <w:rPr>
                <w:rStyle w:val="Hyperlink"/>
                <w:noProof/>
              </w:rPr>
              <w:t>A3 How is the FSS published?</w:t>
            </w:r>
            <w:r>
              <w:rPr>
                <w:noProof/>
                <w:webHidden/>
              </w:rPr>
              <w:tab/>
            </w:r>
            <w:r>
              <w:rPr>
                <w:noProof/>
                <w:webHidden/>
              </w:rPr>
              <w:fldChar w:fldCharType="begin"/>
            </w:r>
            <w:r>
              <w:rPr>
                <w:noProof/>
                <w:webHidden/>
              </w:rPr>
              <w:instrText xml:space="preserve"> PAGEREF _Toc194482905 \h </w:instrText>
            </w:r>
            <w:r>
              <w:rPr>
                <w:noProof/>
                <w:webHidden/>
              </w:rPr>
            </w:r>
            <w:r>
              <w:rPr>
                <w:noProof/>
                <w:webHidden/>
              </w:rPr>
              <w:fldChar w:fldCharType="separate"/>
            </w:r>
            <w:r w:rsidR="00B07F02">
              <w:rPr>
                <w:noProof/>
                <w:webHidden/>
              </w:rPr>
              <w:t>19</w:t>
            </w:r>
            <w:r>
              <w:rPr>
                <w:noProof/>
                <w:webHidden/>
              </w:rPr>
              <w:fldChar w:fldCharType="end"/>
            </w:r>
          </w:hyperlink>
        </w:p>
        <w:p w14:paraId="1CDAB398" w14:textId="65193338"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6" w:history="1">
            <w:r w:rsidRPr="00FD65DA">
              <w:rPr>
                <w:rStyle w:val="Hyperlink"/>
                <w:noProof/>
              </w:rPr>
              <w:t>A4</w:t>
            </w:r>
            <w:r w:rsidR="00A81D83">
              <w:rPr>
                <w:rStyle w:val="Hyperlink"/>
                <w:noProof/>
              </w:rPr>
              <w:t xml:space="preserve"> </w:t>
            </w:r>
            <w:r w:rsidRPr="00FD65DA">
              <w:rPr>
                <w:rStyle w:val="Hyperlink"/>
                <w:noProof/>
              </w:rPr>
              <w:t>How does the FSS fit into the overall Fund documentation?</w:t>
            </w:r>
            <w:r>
              <w:rPr>
                <w:noProof/>
                <w:webHidden/>
              </w:rPr>
              <w:tab/>
            </w:r>
            <w:r>
              <w:rPr>
                <w:noProof/>
                <w:webHidden/>
              </w:rPr>
              <w:fldChar w:fldCharType="begin"/>
            </w:r>
            <w:r>
              <w:rPr>
                <w:noProof/>
                <w:webHidden/>
              </w:rPr>
              <w:instrText xml:space="preserve"> PAGEREF _Toc194482906 \h </w:instrText>
            </w:r>
            <w:r>
              <w:rPr>
                <w:noProof/>
                <w:webHidden/>
              </w:rPr>
            </w:r>
            <w:r>
              <w:rPr>
                <w:noProof/>
                <w:webHidden/>
              </w:rPr>
              <w:fldChar w:fldCharType="separate"/>
            </w:r>
            <w:r w:rsidR="00B07F02">
              <w:rPr>
                <w:noProof/>
                <w:webHidden/>
              </w:rPr>
              <w:t>20</w:t>
            </w:r>
            <w:r>
              <w:rPr>
                <w:noProof/>
                <w:webHidden/>
              </w:rPr>
              <w:fldChar w:fldCharType="end"/>
            </w:r>
          </w:hyperlink>
        </w:p>
        <w:p w14:paraId="0D288C1D" w14:textId="169F18FE"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7" w:history="1">
            <w:r w:rsidRPr="00FD65DA">
              <w:rPr>
                <w:rStyle w:val="Hyperlink"/>
                <w:noProof/>
              </w:rPr>
              <w:t>Appendix B – Roles and responsibilities</w:t>
            </w:r>
            <w:r>
              <w:rPr>
                <w:noProof/>
                <w:webHidden/>
              </w:rPr>
              <w:tab/>
            </w:r>
            <w:r>
              <w:rPr>
                <w:noProof/>
                <w:webHidden/>
              </w:rPr>
              <w:fldChar w:fldCharType="begin"/>
            </w:r>
            <w:r>
              <w:rPr>
                <w:noProof/>
                <w:webHidden/>
              </w:rPr>
              <w:instrText xml:space="preserve"> PAGEREF _Toc194482907 \h </w:instrText>
            </w:r>
            <w:r>
              <w:rPr>
                <w:noProof/>
                <w:webHidden/>
              </w:rPr>
            </w:r>
            <w:r>
              <w:rPr>
                <w:noProof/>
                <w:webHidden/>
              </w:rPr>
              <w:fldChar w:fldCharType="separate"/>
            </w:r>
            <w:r w:rsidR="00B07F02">
              <w:rPr>
                <w:noProof/>
                <w:webHidden/>
              </w:rPr>
              <w:t>21</w:t>
            </w:r>
            <w:r>
              <w:rPr>
                <w:noProof/>
                <w:webHidden/>
              </w:rPr>
              <w:fldChar w:fldCharType="end"/>
            </w:r>
          </w:hyperlink>
        </w:p>
        <w:p w14:paraId="6793E95C" w14:textId="7AF3FF87"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8" w:history="1">
            <w:r w:rsidRPr="00FD65DA">
              <w:rPr>
                <w:rStyle w:val="Hyperlink"/>
                <w:noProof/>
              </w:rPr>
              <w:t>B1 The administering authority is required to:</w:t>
            </w:r>
            <w:r>
              <w:rPr>
                <w:noProof/>
                <w:webHidden/>
              </w:rPr>
              <w:tab/>
            </w:r>
            <w:r>
              <w:rPr>
                <w:noProof/>
                <w:webHidden/>
              </w:rPr>
              <w:fldChar w:fldCharType="begin"/>
            </w:r>
            <w:r>
              <w:rPr>
                <w:noProof/>
                <w:webHidden/>
              </w:rPr>
              <w:instrText xml:space="preserve"> PAGEREF _Toc194482908 \h </w:instrText>
            </w:r>
            <w:r>
              <w:rPr>
                <w:noProof/>
                <w:webHidden/>
              </w:rPr>
            </w:r>
            <w:r>
              <w:rPr>
                <w:noProof/>
                <w:webHidden/>
              </w:rPr>
              <w:fldChar w:fldCharType="separate"/>
            </w:r>
            <w:r w:rsidR="00B07F02">
              <w:rPr>
                <w:noProof/>
                <w:webHidden/>
              </w:rPr>
              <w:t>21</w:t>
            </w:r>
            <w:r>
              <w:rPr>
                <w:noProof/>
                <w:webHidden/>
              </w:rPr>
              <w:fldChar w:fldCharType="end"/>
            </w:r>
          </w:hyperlink>
        </w:p>
        <w:p w14:paraId="306C4A6F" w14:textId="51F6FAA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9" w:history="1">
            <w:r w:rsidRPr="00FD65DA">
              <w:rPr>
                <w:rStyle w:val="Hyperlink"/>
                <w:noProof/>
              </w:rPr>
              <w:t>B2 Individual employers are required to:</w:t>
            </w:r>
            <w:r>
              <w:rPr>
                <w:noProof/>
                <w:webHidden/>
              </w:rPr>
              <w:tab/>
            </w:r>
            <w:r>
              <w:rPr>
                <w:noProof/>
                <w:webHidden/>
              </w:rPr>
              <w:fldChar w:fldCharType="begin"/>
            </w:r>
            <w:r>
              <w:rPr>
                <w:noProof/>
                <w:webHidden/>
              </w:rPr>
              <w:instrText xml:space="preserve"> PAGEREF _Toc194482909 \h </w:instrText>
            </w:r>
            <w:r>
              <w:rPr>
                <w:noProof/>
                <w:webHidden/>
              </w:rPr>
            </w:r>
            <w:r>
              <w:rPr>
                <w:noProof/>
                <w:webHidden/>
              </w:rPr>
              <w:fldChar w:fldCharType="separate"/>
            </w:r>
            <w:r w:rsidR="00B07F02">
              <w:rPr>
                <w:noProof/>
                <w:webHidden/>
              </w:rPr>
              <w:t>21</w:t>
            </w:r>
            <w:r>
              <w:rPr>
                <w:noProof/>
                <w:webHidden/>
              </w:rPr>
              <w:fldChar w:fldCharType="end"/>
            </w:r>
          </w:hyperlink>
        </w:p>
        <w:p w14:paraId="45706043" w14:textId="20B2667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0" w:history="1">
            <w:r w:rsidRPr="00FD65DA">
              <w:rPr>
                <w:rStyle w:val="Hyperlink"/>
                <w:noProof/>
              </w:rPr>
              <w:t>B3 The Fund actuary should:</w:t>
            </w:r>
            <w:r>
              <w:rPr>
                <w:noProof/>
                <w:webHidden/>
              </w:rPr>
              <w:tab/>
            </w:r>
            <w:r>
              <w:rPr>
                <w:noProof/>
                <w:webHidden/>
              </w:rPr>
              <w:fldChar w:fldCharType="begin"/>
            </w:r>
            <w:r>
              <w:rPr>
                <w:noProof/>
                <w:webHidden/>
              </w:rPr>
              <w:instrText xml:space="preserve"> PAGEREF _Toc194482910 \h </w:instrText>
            </w:r>
            <w:r>
              <w:rPr>
                <w:noProof/>
                <w:webHidden/>
              </w:rPr>
            </w:r>
            <w:r>
              <w:rPr>
                <w:noProof/>
                <w:webHidden/>
              </w:rPr>
              <w:fldChar w:fldCharType="separate"/>
            </w:r>
            <w:r w:rsidR="00B07F02">
              <w:rPr>
                <w:noProof/>
                <w:webHidden/>
              </w:rPr>
              <w:t>22</w:t>
            </w:r>
            <w:r>
              <w:rPr>
                <w:noProof/>
                <w:webHidden/>
              </w:rPr>
              <w:fldChar w:fldCharType="end"/>
            </w:r>
          </w:hyperlink>
        </w:p>
        <w:p w14:paraId="0329BF50" w14:textId="08BE8C7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1" w:history="1">
            <w:r w:rsidRPr="00FD65DA">
              <w:rPr>
                <w:rStyle w:val="Hyperlink"/>
                <w:noProof/>
              </w:rPr>
              <w:t>B4 Local Pension Boards (LPB):</w:t>
            </w:r>
            <w:r>
              <w:rPr>
                <w:noProof/>
                <w:webHidden/>
              </w:rPr>
              <w:tab/>
            </w:r>
            <w:r>
              <w:rPr>
                <w:noProof/>
                <w:webHidden/>
              </w:rPr>
              <w:fldChar w:fldCharType="begin"/>
            </w:r>
            <w:r>
              <w:rPr>
                <w:noProof/>
                <w:webHidden/>
              </w:rPr>
              <w:instrText xml:space="preserve"> PAGEREF _Toc194482911 \h </w:instrText>
            </w:r>
            <w:r>
              <w:rPr>
                <w:noProof/>
                <w:webHidden/>
              </w:rPr>
            </w:r>
            <w:r>
              <w:rPr>
                <w:noProof/>
                <w:webHidden/>
              </w:rPr>
              <w:fldChar w:fldCharType="separate"/>
            </w:r>
            <w:r w:rsidR="00B07F02">
              <w:rPr>
                <w:noProof/>
                <w:webHidden/>
              </w:rPr>
              <w:t>22</w:t>
            </w:r>
            <w:r>
              <w:rPr>
                <w:noProof/>
                <w:webHidden/>
              </w:rPr>
              <w:fldChar w:fldCharType="end"/>
            </w:r>
          </w:hyperlink>
        </w:p>
        <w:p w14:paraId="739D12C9" w14:textId="20F05C5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2" w:history="1">
            <w:r w:rsidRPr="00FD65DA">
              <w:rPr>
                <w:rStyle w:val="Hyperlink"/>
                <w:noProof/>
              </w:rPr>
              <w:t>B5 Employer guarantors</w:t>
            </w:r>
            <w:r>
              <w:rPr>
                <w:noProof/>
                <w:webHidden/>
              </w:rPr>
              <w:tab/>
            </w:r>
            <w:r>
              <w:rPr>
                <w:noProof/>
                <w:webHidden/>
              </w:rPr>
              <w:fldChar w:fldCharType="begin"/>
            </w:r>
            <w:r>
              <w:rPr>
                <w:noProof/>
                <w:webHidden/>
              </w:rPr>
              <w:instrText xml:space="preserve"> PAGEREF _Toc194482912 \h </w:instrText>
            </w:r>
            <w:r>
              <w:rPr>
                <w:noProof/>
                <w:webHidden/>
              </w:rPr>
            </w:r>
            <w:r>
              <w:rPr>
                <w:noProof/>
                <w:webHidden/>
              </w:rPr>
              <w:fldChar w:fldCharType="separate"/>
            </w:r>
            <w:r w:rsidR="00B07F02">
              <w:rPr>
                <w:noProof/>
                <w:webHidden/>
              </w:rPr>
              <w:t>22</w:t>
            </w:r>
            <w:r>
              <w:rPr>
                <w:noProof/>
                <w:webHidden/>
              </w:rPr>
              <w:fldChar w:fldCharType="end"/>
            </w:r>
          </w:hyperlink>
        </w:p>
        <w:p w14:paraId="6BE6A819" w14:textId="0DC1FB4E"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3" w:history="1">
            <w:r w:rsidRPr="00FD65DA">
              <w:rPr>
                <w:rStyle w:val="Hyperlink"/>
                <w:noProof/>
              </w:rPr>
              <w:t>B6 Other parties:</w:t>
            </w:r>
            <w:r>
              <w:rPr>
                <w:noProof/>
                <w:webHidden/>
              </w:rPr>
              <w:tab/>
            </w:r>
            <w:r>
              <w:rPr>
                <w:noProof/>
                <w:webHidden/>
              </w:rPr>
              <w:fldChar w:fldCharType="begin"/>
            </w:r>
            <w:r>
              <w:rPr>
                <w:noProof/>
                <w:webHidden/>
              </w:rPr>
              <w:instrText xml:space="preserve"> PAGEREF _Toc194482913 \h </w:instrText>
            </w:r>
            <w:r>
              <w:rPr>
                <w:noProof/>
                <w:webHidden/>
              </w:rPr>
            </w:r>
            <w:r>
              <w:rPr>
                <w:noProof/>
                <w:webHidden/>
              </w:rPr>
              <w:fldChar w:fldCharType="separate"/>
            </w:r>
            <w:r w:rsidR="00B07F02">
              <w:rPr>
                <w:noProof/>
                <w:webHidden/>
              </w:rPr>
              <w:t>23</w:t>
            </w:r>
            <w:r>
              <w:rPr>
                <w:noProof/>
                <w:webHidden/>
              </w:rPr>
              <w:fldChar w:fldCharType="end"/>
            </w:r>
          </w:hyperlink>
        </w:p>
        <w:p w14:paraId="0ACBBA66" w14:textId="6D57F79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14" w:history="1">
            <w:r w:rsidRPr="00FD65DA">
              <w:rPr>
                <w:rStyle w:val="Hyperlink"/>
                <w:noProof/>
              </w:rPr>
              <w:t>Appendix C – Glossary</w:t>
            </w:r>
            <w:r>
              <w:rPr>
                <w:noProof/>
                <w:webHidden/>
              </w:rPr>
              <w:tab/>
            </w:r>
            <w:r>
              <w:rPr>
                <w:noProof/>
                <w:webHidden/>
              </w:rPr>
              <w:fldChar w:fldCharType="begin"/>
            </w:r>
            <w:r>
              <w:rPr>
                <w:noProof/>
                <w:webHidden/>
              </w:rPr>
              <w:instrText xml:space="preserve"> PAGEREF _Toc194482914 \h </w:instrText>
            </w:r>
            <w:r>
              <w:rPr>
                <w:noProof/>
                <w:webHidden/>
              </w:rPr>
            </w:r>
            <w:r>
              <w:rPr>
                <w:noProof/>
                <w:webHidden/>
              </w:rPr>
              <w:fldChar w:fldCharType="separate"/>
            </w:r>
            <w:r w:rsidR="00B07F02">
              <w:rPr>
                <w:noProof/>
                <w:webHidden/>
              </w:rPr>
              <w:t>24</w:t>
            </w:r>
            <w:r>
              <w:rPr>
                <w:noProof/>
                <w:webHidden/>
              </w:rPr>
              <w:fldChar w:fldCharType="end"/>
            </w:r>
          </w:hyperlink>
        </w:p>
        <w:p w14:paraId="44BAA383" w14:textId="1381574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15" w:history="1">
            <w:r w:rsidRPr="00FD65DA">
              <w:rPr>
                <w:rStyle w:val="Hyperlink"/>
                <w:noProof/>
              </w:rPr>
              <w:t>Appendix D – Risks and controls</w:t>
            </w:r>
            <w:r>
              <w:rPr>
                <w:noProof/>
                <w:webHidden/>
              </w:rPr>
              <w:tab/>
            </w:r>
            <w:r>
              <w:rPr>
                <w:noProof/>
                <w:webHidden/>
              </w:rPr>
              <w:fldChar w:fldCharType="begin"/>
            </w:r>
            <w:r>
              <w:rPr>
                <w:noProof/>
                <w:webHidden/>
              </w:rPr>
              <w:instrText xml:space="preserve"> PAGEREF _Toc194482915 \h </w:instrText>
            </w:r>
            <w:r>
              <w:rPr>
                <w:noProof/>
                <w:webHidden/>
              </w:rPr>
            </w:r>
            <w:r>
              <w:rPr>
                <w:noProof/>
                <w:webHidden/>
              </w:rPr>
              <w:fldChar w:fldCharType="separate"/>
            </w:r>
            <w:r w:rsidR="00B07F02">
              <w:rPr>
                <w:noProof/>
                <w:webHidden/>
              </w:rPr>
              <w:t>26</w:t>
            </w:r>
            <w:r>
              <w:rPr>
                <w:noProof/>
                <w:webHidden/>
              </w:rPr>
              <w:fldChar w:fldCharType="end"/>
            </w:r>
          </w:hyperlink>
        </w:p>
        <w:p w14:paraId="471FA4DE" w14:textId="303C2E78"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6" w:history="1">
            <w:r w:rsidRPr="00FD65DA">
              <w:rPr>
                <w:rStyle w:val="Hyperlink"/>
                <w:noProof/>
              </w:rPr>
              <w:t>D1 Managing risks</w:t>
            </w:r>
            <w:r>
              <w:rPr>
                <w:noProof/>
                <w:webHidden/>
              </w:rPr>
              <w:tab/>
            </w:r>
            <w:r>
              <w:rPr>
                <w:noProof/>
                <w:webHidden/>
              </w:rPr>
              <w:fldChar w:fldCharType="begin"/>
            </w:r>
            <w:r>
              <w:rPr>
                <w:noProof/>
                <w:webHidden/>
              </w:rPr>
              <w:instrText xml:space="preserve"> PAGEREF _Toc194482916 \h </w:instrText>
            </w:r>
            <w:r>
              <w:rPr>
                <w:noProof/>
                <w:webHidden/>
              </w:rPr>
            </w:r>
            <w:r>
              <w:rPr>
                <w:noProof/>
                <w:webHidden/>
              </w:rPr>
              <w:fldChar w:fldCharType="separate"/>
            </w:r>
            <w:r w:rsidR="00B07F02">
              <w:rPr>
                <w:noProof/>
                <w:webHidden/>
              </w:rPr>
              <w:t>26</w:t>
            </w:r>
            <w:r>
              <w:rPr>
                <w:noProof/>
                <w:webHidden/>
              </w:rPr>
              <w:fldChar w:fldCharType="end"/>
            </w:r>
          </w:hyperlink>
        </w:p>
        <w:p w14:paraId="2404AF0B" w14:textId="5EB5DBC5"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7" w:history="1">
            <w:r w:rsidRPr="00FD65DA">
              <w:rPr>
                <w:rStyle w:val="Hyperlink"/>
                <w:noProof/>
              </w:rPr>
              <w:t>D2 Financial risks</w:t>
            </w:r>
            <w:r>
              <w:rPr>
                <w:noProof/>
                <w:webHidden/>
              </w:rPr>
              <w:tab/>
            </w:r>
            <w:r>
              <w:rPr>
                <w:noProof/>
                <w:webHidden/>
              </w:rPr>
              <w:fldChar w:fldCharType="begin"/>
            </w:r>
            <w:r>
              <w:rPr>
                <w:noProof/>
                <w:webHidden/>
              </w:rPr>
              <w:instrText xml:space="preserve"> PAGEREF _Toc194482917 \h </w:instrText>
            </w:r>
            <w:r>
              <w:rPr>
                <w:noProof/>
                <w:webHidden/>
              </w:rPr>
            </w:r>
            <w:r>
              <w:rPr>
                <w:noProof/>
                <w:webHidden/>
              </w:rPr>
              <w:fldChar w:fldCharType="separate"/>
            </w:r>
            <w:r w:rsidR="00B07F02">
              <w:rPr>
                <w:noProof/>
                <w:webHidden/>
              </w:rPr>
              <w:t>26</w:t>
            </w:r>
            <w:r>
              <w:rPr>
                <w:noProof/>
                <w:webHidden/>
              </w:rPr>
              <w:fldChar w:fldCharType="end"/>
            </w:r>
          </w:hyperlink>
        </w:p>
        <w:p w14:paraId="62BBFD07" w14:textId="6305F1D2"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8" w:history="1">
            <w:r w:rsidRPr="00FD65DA">
              <w:rPr>
                <w:rStyle w:val="Hyperlink"/>
                <w:rFonts w:eastAsia="Times New Roman"/>
                <w:noProof/>
              </w:rPr>
              <w:t>D3 Demographic risks</w:t>
            </w:r>
            <w:r>
              <w:rPr>
                <w:noProof/>
                <w:webHidden/>
              </w:rPr>
              <w:tab/>
            </w:r>
            <w:r>
              <w:rPr>
                <w:noProof/>
                <w:webHidden/>
              </w:rPr>
              <w:fldChar w:fldCharType="begin"/>
            </w:r>
            <w:r>
              <w:rPr>
                <w:noProof/>
                <w:webHidden/>
              </w:rPr>
              <w:instrText xml:space="preserve"> PAGEREF _Toc194482918 \h </w:instrText>
            </w:r>
            <w:r>
              <w:rPr>
                <w:noProof/>
                <w:webHidden/>
              </w:rPr>
            </w:r>
            <w:r>
              <w:rPr>
                <w:noProof/>
                <w:webHidden/>
              </w:rPr>
              <w:fldChar w:fldCharType="separate"/>
            </w:r>
            <w:r w:rsidR="00B07F02">
              <w:rPr>
                <w:noProof/>
                <w:webHidden/>
              </w:rPr>
              <w:t>27</w:t>
            </w:r>
            <w:r>
              <w:rPr>
                <w:noProof/>
                <w:webHidden/>
              </w:rPr>
              <w:fldChar w:fldCharType="end"/>
            </w:r>
          </w:hyperlink>
        </w:p>
        <w:p w14:paraId="60E6F30C" w14:textId="2F3B6F06"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9" w:history="1">
            <w:r w:rsidRPr="00FD65DA">
              <w:rPr>
                <w:rStyle w:val="Hyperlink"/>
                <w:rFonts w:eastAsia="Times New Roman"/>
                <w:noProof/>
              </w:rPr>
              <w:t>D4 Regulatory risks</w:t>
            </w:r>
            <w:r>
              <w:rPr>
                <w:noProof/>
                <w:webHidden/>
              </w:rPr>
              <w:tab/>
            </w:r>
            <w:r>
              <w:rPr>
                <w:noProof/>
                <w:webHidden/>
              </w:rPr>
              <w:fldChar w:fldCharType="begin"/>
            </w:r>
            <w:r>
              <w:rPr>
                <w:noProof/>
                <w:webHidden/>
              </w:rPr>
              <w:instrText xml:space="preserve"> PAGEREF _Toc194482919 \h </w:instrText>
            </w:r>
            <w:r>
              <w:rPr>
                <w:noProof/>
                <w:webHidden/>
              </w:rPr>
            </w:r>
            <w:r>
              <w:rPr>
                <w:noProof/>
                <w:webHidden/>
              </w:rPr>
              <w:fldChar w:fldCharType="separate"/>
            </w:r>
            <w:r w:rsidR="00B07F02">
              <w:rPr>
                <w:noProof/>
                <w:webHidden/>
              </w:rPr>
              <w:t>27</w:t>
            </w:r>
            <w:r>
              <w:rPr>
                <w:noProof/>
                <w:webHidden/>
              </w:rPr>
              <w:fldChar w:fldCharType="end"/>
            </w:r>
          </w:hyperlink>
        </w:p>
        <w:p w14:paraId="1706F6B8" w14:textId="26DC6DA6"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0" w:history="1">
            <w:r w:rsidRPr="00FD65DA">
              <w:rPr>
                <w:rStyle w:val="Hyperlink"/>
                <w:rFonts w:eastAsia="Times New Roman"/>
                <w:noProof/>
              </w:rPr>
              <w:t>D5 Governance risks</w:t>
            </w:r>
            <w:r>
              <w:rPr>
                <w:noProof/>
                <w:webHidden/>
              </w:rPr>
              <w:tab/>
            </w:r>
            <w:r>
              <w:rPr>
                <w:noProof/>
                <w:webHidden/>
              </w:rPr>
              <w:fldChar w:fldCharType="begin"/>
            </w:r>
            <w:r>
              <w:rPr>
                <w:noProof/>
                <w:webHidden/>
              </w:rPr>
              <w:instrText xml:space="preserve"> PAGEREF _Toc194482920 \h </w:instrText>
            </w:r>
            <w:r>
              <w:rPr>
                <w:noProof/>
                <w:webHidden/>
              </w:rPr>
            </w:r>
            <w:r>
              <w:rPr>
                <w:noProof/>
                <w:webHidden/>
              </w:rPr>
              <w:fldChar w:fldCharType="separate"/>
            </w:r>
            <w:r w:rsidR="00B07F02">
              <w:rPr>
                <w:noProof/>
                <w:webHidden/>
              </w:rPr>
              <w:t>28</w:t>
            </w:r>
            <w:r>
              <w:rPr>
                <w:noProof/>
                <w:webHidden/>
              </w:rPr>
              <w:fldChar w:fldCharType="end"/>
            </w:r>
          </w:hyperlink>
        </w:p>
        <w:p w14:paraId="01339EC7" w14:textId="6629C1A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1" w:history="1">
            <w:r w:rsidRPr="00FD65DA">
              <w:rPr>
                <w:rStyle w:val="Hyperlink"/>
                <w:noProof/>
              </w:rPr>
              <w:t>D6 Employer covenant assessment and monitoring</w:t>
            </w:r>
            <w:r>
              <w:rPr>
                <w:noProof/>
                <w:webHidden/>
              </w:rPr>
              <w:tab/>
            </w:r>
            <w:r>
              <w:rPr>
                <w:noProof/>
                <w:webHidden/>
              </w:rPr>
              <w:fldChar w:fldCharType="begin"/>
            </w:r>
            <w:r>
              <w:rPr>
                <w:noProof/>
                <w:webHidden/>
              </w:rPr>
              <w:instrText xml:space="preserve"> PAGEREF _Toc194482921 \h </w:instrText>
            </w:r>
            <w:r>
              <w:rPr>
                <w:noProof/>
                <w:webHidden/>
              </w:rPr>
            </w:r>
            <w:r>
              <w:rPr>
                <w:noProof/>
                <w:webHidden/>
              </w:rPr>
              <w:fldChar w:fldCharType="separate"/>
            </w:r>
            <w:r w:rsidR="00B07F02">
              <w:rPr>
                <w:noProof/>
                <w:webHidden/>
              </w:rPr>
              <w:t>29</w:t>
            </w:r>
            <w:r>
              <w:rPr>
                <w:noProof/>
                <w:webHidden/>
              </w:rPr>
              <w:fldChar w:fldCharType="end"/>
            </w:r>
          </w:hyperlink>
        </w:p>
        <w:p w14:paraId="345EF908" w14:textId="5D684934"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2" w:history="1">
            <w:r w:rsidRPr="00FD65DA">
              <w:rPr>
                <w:rStyle w:val="Hyperlink"/>
                <w:noProof/>
              </w:rPr>
              <w:t>D7 Climate risk and TCFD reporting</w:t>
            </w:r>
            <w:r>
              <w:rPr>
                <w:noProof/>
                <w:webHidden/>
              </w:rPr>
              <w:tab/>
            </w:r>
            <w:r>
              <w:rPr>
                <w:noProof/>
                <w:webHidden/>
              </w:rPr>
              <w:fldChar w:fldCharType="begin"/>
            </w:r>
            <w:r>
              <w:rPr>
                <w:noProof/>
                <w:webHidden/>
              </w:rPr>
              <w:instrText xml:space="preserve"> PAGEREF _Toc194482922 \h </w:instrText>
            </w:r>
            <w:r>
              <w:rPr>
                <w:noProof/>
                <w:webHidden/>
              </w:rPr>
            </w:r>
            <w:r>
              <w:rPr>
                <w:noProof/>
                <w:webHidden/>
              </w:rPr>
              <w:fldChar w:fldCharType="separate"/>
            </w:r>
            <w:r w:rsidR="00B07F02">
              <w:rPr>
                <w:noProof/>
                <w:webHidden/>
              </w:rPr>
              <w:t>29</w:t>
            </w:r>
            <w:r>
              <w:rPr>
                <w:noProof/>
                <w:webHidden/>
              </w:rPr>
              <w:fldChar w:fldCharType="end"/>
            </w:r>
          </w:hyperlink>
        </w:p>
        <w:p w14:paraId="3A847F59" w14:textId="24251249"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23" w:history="1">
            <w:r w:rsidRPr="00FD65DA">
              <w:rPr>
                <w:rStyle w:val="Hyperlink"/>
                <w:noProof/>
              </w:rPr>
              <w:t>Appendix E – Actuarial assumptions</w:t>
            </w:r>
            <w:r>
              <w:rPr>
                <w:noProof/>
                <w:webHidden/>
              </w:rPr>
              <w:tab/>
            </w:r>
            <w:r>
              <w:rPr>
                <w:noProof/>
                <w:webHidden/>
              </w:rPr>
              <w:fldChar w:fldCharType="begin"/>
            </w:r>
            <w:r>
              <w:rPr>
                <w:noProof/>
                <w:webHidden/>
              </w:rPr>
              <w:instrText xml:space="preserve"> PAGEREF _Toc194482923 \h </w:instrText>
            </w:r>
            <w:r>
              <w:rPr>
                <w:noProof/>
                <w:webHidden/>
              </w:rPr>
            </w:r>
            <w:r>
              <w:rPr>
                <w:noProof/>
                <w:webHidden/>
              </w:rPr>
              <w:fldChar w:fldCharType="separate"/>
            </w:r>
            <w:r w:rsidR="00B07F02">
              <w:rPr>
                <w:noProof/>
                <w:webHidden/>
              </w:rPr>
              <w:t>31</w:t>
            </w:r>
            <w:r>
              <w:rPr>
                <w:noProof/>
                <w:webHidden/>
              </w:rPr>
              <w:fldChar w:fldCharType="end"/>
            </w:r>
          </w:hyperlink>
        </w:p>
        <w:p w14:paraId="08165DB4" w14:textId="2F2D87A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4" w:history="1">
            <w:r w:rsidRPr="00FD65DA">
              <w:rPr>
                <w:rStyle w:val="Hyperlink"/>
                <w:noProof/>
              </w:rPr>
              <w:t>E1 What are assumptions?</w:t>
            </w:r>
            <w:r>
              <w:rPr>
                <w:noProof/>
                <w:webHidden/>
              </w:rPr>
              <w:tab/>
            </w:r>
            <w:r>
              <w:rPr>
                <w:noProof/>
                <w:webHidden/>
              </w:rPr>
              <w:fldChar w:fldCharType="begin"/>
            </w:r>
            <w:r>
              <w:rPr>
                <w:noProof/>
                <w:webHidden/>
              </w:rPr>
              <w:instrText xml:space="preserve"> PAGEREF _Toc194482924 \h </w:instrText>
            </w:r>
            <w:r>
              <w:rPr>
                <w:noProof/>
                <w:webHidden/>
              </w:rPr>
            </w:r>
            <w:r>
              <w:rPr>
                <w:noProof/>
                <w:webHidden/>
              </w:rPr>
              <w:fldChar w:fldCharType="separate"/>
            </w:r>
            <w:r w:rsidR="00B07F02">
              <w:rPr>
                <w:noProof/>
                <w:webHidden/>
              </w:rPr>
              <w:t>31</w:t>
            </w:r>
            <w:r>
              <w:rPr>
                <w:noProof/>
                <w:webHidden/>
              </w:rPr>
              <w:fldChar w:fldCharType="end"/>
            </w:r>
          </w:hyperlink>
        </w:p>
        <w:p w14:paraId="5D156E72" w14:textId="2B11C53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5" w:history="1">
            <w:r w:rsidRPr="00FD65DA">
              <w:rPr>
                <w:rStyle w:val="Hyperlink"/>
                <w:noProof/>
              </w:rPr>
              <w:t>E2 What assumptions are used to set the contribution rate?</w:t>
            </w:r>
            <w:r>
              <w:rPr>
                <w:noProof/>
                <w:webHidden/>
              </w:rPr>
              <w:tab/>
            </w:r>
            <w:r>
              <w:rPr>
                <w:noProof/>
                <w:webHidden/>
              </w:rPr>
              <w:fldChar w:fldCharType="begin"/>
            </w:r>
            <w:r>
              <w:rPr>
                <w:noProof/>
                <w:webHidden/>
              </w:rPr>
              <w:instrText xml:space="preserve"> PAGEREF _Toc194482925 \h </w:instrText>
            </w:r>
            <w:r>
              <w:rPr>
                <w:noProof/>
                <w:webHidden/>
              </w:rPr>
            </w:r>
            <w:r>
              <w:rPr>
                <w:noProof/>
                <w:webHidden/>
              </w:rPr>
              <w:fldChar w:fldCharType="separate"/>
            </w:r>
            <w:r w:rsidR="00B07F02">
              <w:rPr>
                <w:noProof/>
                <w:webHidden/>
              </w:rPr>
              <w:t>31</w:t>
            </w:r>
            <w:r>
              <w:rPr>
                <w:noProof/>
                <w:webHidden/>
              </w:rPr>
              <w:fldChar w:fldCharType="end"/>
            </w:r>
          </w:hyperlink>
        </w:p>
        <w:p w14:paraId="1A3B0420" w14:textId="1DCC57A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6" w:history="1">
            <w:r w:rsidRPr="00FD65DA">
              <w:rPr>
                <w:rStyle w:val="Hyperlink"/>
                <w:noProof/>
              </w:rPr>
              <w:t>E3 What financial assumptions were used?</w:t>
            </w:r>
            <w:r>
              <w:rPr>
                <w:noProof/>
                <w:webHidden/>
              </w:rPr>
              <w:tab/>
            </w:r>
            <w:r>
              <w:rPr>
                <w:noProof/>
                <w:webHidden/>
              </w:rPr>
              <w:fldChar w:fldCharType="begin"/>
            </w:r>
            <w:r>
              <w:rPr>
                <w:noProof/>
                <w:webHidden/>
              </w:rPr>
              <w:instrText xml:space="preserve"> PAGEREF _Toc194482926 \h </w:instrText>
            </w:r>
            <w:r>
              <w:rPr>
                <w:noProof/>
                <w:webHidden/>
              </w:rPr>
            </w:r>
            <w:r>
              <w:rPr>
                <w:noProof/>
                <w:webHidden/>
              </w:rPr>
              <w:fldChar w:fldCharType="separate"/>
            </w:r>
            <w:r w:rsidR="00B07F02">
              <w:rPr>
                <w:noProof/>
                <w:webHidden/>
              </w:rPr>
              <w:t>33</w:t>
            </w:r>
            <w:r>
              <w:rPr>
                <w:noProof/>
                <w:webHidden/>
              </w:rPr>
              <w:fldChar w:fldCharType="end"/>
            </w:r>
          </w:hyperlink>
        </w:p>
        <w:p w14:paraId="651A0B00" w14:textId="4D95C481"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7" w:history="1">
            <w:r w:rsidRPr="00FD65DA">
              <w:rPr>
                <w:rStyle w:val="Hyperlink"/>
                <w:noProof/>
              </w:rPr>
              <w:t>E4 What demographic assumptions were used?</w:t>
            </w:r>
            <w:r>
              <w:rPr>
                <w:noProof/>
                <w:webHidden/>
              </w:rPr>
              <w:tab/>
            </w:r>
            <w:r>
              <w:rPr>
                <w:noProof/>
                <w:webHidden/>
              </w:rPr>
              <w:fldChar w:fldCharType="begin"/>
            </w:r>
            <w:r>
              <w:rPr>
                <w:noProof/>
                <w:webHidden/>
              </w:rPr>
              <w:instrText xml:space="preserve"> PAGEREF _Toc194482927 \h </w:instrText>
            </w:r>
            <w:r>
              <w:rPr>
                <w:noProof/>
                <w:webHidden/>
              </w:rPr>
            </w:r>
            <w:r>
              <w:rPr>
                <w:noProof/>
                <w:webHidden/>
              </w:rPr>
              <w:fldChar w:fldCharType="separate"/>
            </w:r>
            <w:r w:rsidR="00B07F02">
              <w:rPr>
                <w:noProof/>
                <w:webHidden/>
              </w:rPr>
              <w:t>33</w:t>
            </w:r>
            <w:r>
              <w:rPr>
                <w:noProof/>
                <w:webHidden/>
              </w:rPr>
              <w:fldChar w:fldCharType="end"/>
            </w:r>
          </w:hyperlink>
        </w:p>
        <w:p w14:paraId="3324F4DD" w14:textId="7BDE875D"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8" w:history="1">
            <w:r w:rsidRPr="00FD65DA">
              <w:rPr>
                <w:rStyle w:val="Hyperlink"/>
                <w:rFonts w:eastAsia="Times New Roman"/>
                <w:noProof/>
              </w:rPr>
              <w:t>E5 What assumptions apply in a cessation valuation following an employer’s exit from the Fund?</w:t>
            </w:r>
            <w:r>
              <w:rPr>
                <w:noProof/>
                <w:webHidden/>
              </w:rPr>
              <w:tab/>
            </w:r>
            <w:r>
              <w:rPr>
                <w:noProof/>
                <w:webHidden/>
              </w:rPr>
              <w:fldChar w:fldCharType="begin"/>
            </w:r>
            <w:r>
              <w:rPr>
                <w:noProof/>
                <w:webHidden/>
              </w:rPr>
              <w:instrText xml:space="preserve"> PAGEREF _Toc194482928 \h </w:instrText>
            </w:r>
            <w:r>
              <w:rPr>
                <w:noProof/>
                <w:webHidden/>
              </w:rPr>
            </w:r>
            <w:r>
              <w:rPr>
                <w:noProof/>
                <w:webHidden/>
              </w:rPr>
              <w:fldChar w:fldCharType="separate"/>
            </w:r>
            <w:r w:rsidR="00B07F02">
              <w:rPr>
                <w:noProof/>
                <w:webHidden/>
              </w:rPr>
              <w:t>34</w:t>
            </w:r>
            <w:r>
              <w:rPr>
                <w:noProof/>
                <w:webHidden/>
              </w:rPr>
              <w:fldChar w:fldCharType="end"/>
            </w:r>
          </w:hyperlink>
        </w:p>
        <w:p w14:paraId="60EB8EA5" w14:textId="37291C8F" w:rsidR="00C271AD" w:rsidRDefault="00C271AD">
          <w:r>
            <w:rPr>
              <w:b/>
              <w:bCs/>
              <w:noProof/>
            </w:rPr>
            <w:fldChar w:fldCharType="end"/>
          </w:r>
        </w:p>
      </w:sdtContent>
    </w:sdt>
    <w:p w14:paraId="117629E7" w14:textId="77777777" w:rsidR="00F830F4" w:rsidRDefault="00F830F4" w:rsidP="002B0CE8">
      <w:pPr>
        <w:pStyle w:val="Heading1"/>
      </w:pPr>
    </w:p>
    <w:p w14:paraId="0E1DA72C" w14:textId="77777777" w:rsidR="00537825" w:rsidRPr="00F00FFD" w:rsidRDefault="00537825" w:rsidP="00537825"/>
    <w:p w14:paraId="6176D74C" w14:textId="77777777" w:rsidR="00537825" w:rsidRDefault="00537825" w:rsidP="00537825">
      <w:pPr>
        <w:rPr>
          <w:rFonts w:ascii="Calibri" w:eastAsiaTheme="majorEastAsia" w:hAnsi="Calibri" w:cstheme="majorBidi"/>
          <w:b/>
          <w:color w:val="61207F"/>
          <w:sz w:val="24"/>
          <w:szCs w:val="32"/>
        </w:rPr>
      </w:pPr>
    </w:p>
    <w:p w14:paraId="764A95AB" w14:textId="77777777" w:rsidR="00537825" w:rsidRDefault="00537825" w:rsidP="00537825">
      <w:pPr>
        <w:rPr>
          <w:rFonts w:ascii="Calibri" w:eastAsiaTheme="majorEastAsia" w:hAnsi="Calibri" w:cstheme="majorBidi"/>
          <w:b/>
          <w:color w:val="61207F"/>
          <w:sz w:val="24"/>
          <w:szCs w:val="32"/>
        </w:rPr>
      </w:pPr>
    </w:p>
    <w:p w14:paraId="446A3435" w14:textId="77777777" w:rsidR="00537825" w:rsidRPr="00537825" w:rsidRDefault="00537825" w:rsidP="00F07C36">
      <w:pPr>
        <w:sectPr w:rsidR="00537825" w:rsidRPr="00537825" w:rsidSect="00F830F4">
          <w:headerReference w:type="default" r:id="rId11"/>
          <w:footerReference w:type="default" r:id="rId12"/>
          <w:headerReference w:type="first" r:id="rId13"/>
          <w:footerReference w:type="first" r:id="rId14"/>
          <w:pgSz w:w="11906" w:h="16838" w:code="9"/>
          <w:pgMar w:top="851" w:right="1134" w:bottom="851" w:left="1440" w:header="567" w:footer="851" w:gutter="0"/>
          <w:pgNumType w:start="1"/>
          <w:cols w:space="708"/>
          <w:titlePg/>
          <w:docGrid w:linePitch="360"/>
        </w:sectPr>
      </w:pPr>
    </w:p>
    <w:p w14:paraId="7C314D7B" w14:textId="039EF2E3" w:rsidR="00711114" w:rsidRPr="00C07F3A" w:rsidRDefault="00B23642" w:rsidP="00C07F3A">
      <w:pPr>
        <w:pStyle w:val="Heading1"/>
      </w:pPr>
      <w:bookmarkStart w:id="0" w:name="_Toc194482849"/>
      <w:r w:rsidRPr="00C07F3A">
        <w:lastRenderedPageBreak/>
        <w:t>1.</w:t>
      </w:r>
      <w:r w:rsidRPr="00C07F3A">
        <w:tab/>
      </w:r>
      <w:r w:rsidR="00BE22B5" w:rsidRPr="00C07F3A">
        <w:t>Purpose of the</w:t>
      </w:r>
      <w:r w:rsidR="002B0CE8" w:rsidRPr="00C07F3A">
        <w:t xml:space="preserve"> Northamptonshire Pension </w:t>
      </w:r>
      <w:r w:rsidR="00AE3F19" w:rsidRPr="00C07F3A">
        <w:t>Fund</w:t>
      </w:r>
      <w:r w:rsidR="002B0CE8" w:rsidRPr="00C07F3A">
        <w:t xml:space="preserve"> </w:t>
      </w:r>
      <w:r w:rsidR="00EC1000" w:rsidRPr="00C07F3A">
        <w:t xml:space="preserve">and the </w:t>
      </w:r>
      <w:r w:rsidR="00970946" w:rsidRPr="00C07F3A">
        <w:t>f</w:t>
      </w:r>
      <w:r w:rsidR="00AE3F19" w:rsidRPr="00C07F3A">
        <w:t>und</w:t>
      </w:r>
      <w:r w:rsidR="002B0CE8" w:rsidRPr="00C07F3A">
        <w:t>ing strategy statement</w:t>
      </w:r>
      <w:bookmarkEnd w:id="0"/>
    </w:p>
    <w:p w14:paraId="471E4C76" w14:textId="503D54BD" w:rsidR="002B0CE8" w:rsidRDefault="002B0CE8" w:rsidP="002B0CE8">
      <w:r>
        <w:t xml:space="preserve">This document sets out the </w:t>
      </w:r>
      <w:r w:rsidR="00AE3F19">
        <w:t>Fund</w:t>
      </w:r>
      <w:r>
        <w:t xml:space="preserve">ing strategy statement (FSS) for Northamptonshire Pension </w:t>
      </w:r>
      <w:r w:rsidR="00AE3F19">
        <w:t>Fund</w:t>
      </w:r>
      <w:r>
        <w:t xml:space="preserve">. </w:t>
      </w:r>
    </w:p>
    <w:p w14:paraId="70682DEB" w14:textId="60E1062A" w:rsidR="002B0CE8" w:rsidRDefault="002B0CE8" w:rsidP="002B0CE8">
      <w:r>
        <w:t xml:space="preserve">The Northamptonshire Pension </w:t>
      </w:r>
      <w:r w:rsidR="00AE3F19">
        <w:t>Fund</w:t>
      </w:r>
      <w:r>
        <w:t xml:space="preserve"> is administered by West Northamptonshire Council, known as the administering authority. West Northamptonshire Council worked with the </w:t>
      </w:r>
      <w:r w:rsidR="00AE3F19">
        <w:t>Fund</w:t>
      </w:r>
      <w:r>
        <w:t xml:space="preserve">’s actuary, Hymans Robertson, to prepare this FSS which is effective from </w:t>
      </w:r>
      <w:r w:rsidR="00B8461A">
        <w:t>31 March 202</w:t>
      </w:r>
      <w:r w:rsidR="00970946">
        <w:t>6</w:t>
      </w:r>
      <w:r w:rsidR="00B8461A">
        <w:t>.</w:t>
      </w:r>
    </w:p>
    <w:p w14:paraId="79A1127B" w14:textId="77B33321" w:rsidR="002B0CE8" w:rsidRPr="002B0CE8" w:rsidRDefault="002B0CE8" w:rsidP="002B0CE8">
      <w:r>
        <w:t xml:space="preserve">There’s a </w:t>
      </w:r>
      <w:r w:rsidR="0003551B">
        <w:t xml:space="preserve">legal </w:t>
      </w:r>
      <w:r>
        <w:t xml:space="preserve">requirement for West Northamptonshire Council to prepare an FSS. You can find out more about the </w:t>
      </w:r>
      <w:r w:rsidR="0003551B">
        <w:t xml:space="preserve">legal </w:t>
      </w:r>
      <w:r>
        <w:t xml:space="preserve">framework in </w:t>
      </w:r>
      <w:hyperlink w:anchor="_Appendix_A_–" w:history="1">
        <w:r w:rsidRPr="00EE46A9">
          <w:rPr>
            <w:rStyle w:val="Hyperlink"/>
          </w:rPr>
          <w:t>Appendix A</w:t>
        </w:r>
      </w:hyperlink>
      <w:r>
        <w:t>. If you have any queries about the FSS, contact penemployers@westnorthants.gov.uk.</w:t>
      </w:r>
    </w:p>
    <w:p w14:paraId="7591C7AB" w14:textId="1773666F" w:rsidR="00292680" w:rsidRPr="00C07F3A" w:rsidRDefault="000C2B9F" w:rsidP="00C07F3A">
      <w:pPr>
        <w:pStyle w:val="Heading2"/>
      </w:pPr>
      <w:bookmarkStart w:id="1" w:name="_Toc92285375"/>
      <w:bookmarkStart w:id="2" w:name="_Toc194482850"/>
      <w:r w:rsidRPr="00C07F3A">
        <w:t xml:space="preserve">1.1 </w:t>
      </w:r>
      <w:bookmarkEnd w:id="1"/>
      <w:r w:rsidR="002B0CE8" w:rsidRPr="00C07F3A">
        <w:t xml:space="preserve">What is the Northamptonshire Pension </w:t>
      </w:r>
      <w:r w:rsidR="00AE3F19" w:rsidRPr="00C07F3A">
        <w:t>Fund</w:t>
      </w:r>
      <w:r w:rsidR="002B0CE8" w:rsidRPr="00C07F3A">
        <w:t>?</w:t>
      </w:r>
      <w:bookmarkStart w:id="3" w:name="_Toc92285379"/>
      <w:bookmarkEnd w:id="2"/>
    </w:p>
    <w:p w14:paraId="707B44F0" w14:textId="30BD8122" w:rsidR="002B0CE8" w:rsidRDefault="002B0CE8" w:rsidP="00292680">
      <w:pPr>
        <w:rPr>
          <w:b/>
        </w:rPr>
      </w:pPr>
      <w:r w:rsidRPr="002B0CE8">
        <w:t xml:space="preserve">The Northamptonshire Pension </w:t>
      </w:r>
      <w:r w:rsidR="00AE3F19">
        <w:t>Fund</w:t>
      </w:r>
      <w:r w:rsidRPr="002B0CE8">
        <w:t xml:space="preserve"> is part of the Local Government Pension Scheme (LGPS). You can find more information about the LGPS at </w:t>
      </w:r>
      <w:hyperlink r:id="rId15" w:history="1">
        <w:r w:rsidRPr="002B0CE8">
          <w:rPr>
            <w:rStyle w:val="Hyperlink"/>
          </w:rPr>
          <w:t>www.lgpsmember.org</w:t>
        </w:r>
      </w:hyperlink>
      <w:r w:rsidRPr="002B0CE8">
        <w:t xml:space="preserve">. The administering authority runs the </w:t>
      </w:r>
      <w:r w:rsidR="00AE3F19">
        <w:t>Fund</w:t>
      </w:r>
      <w:r w:rsidRPr="002B0CE8">
        <w:t xml:space="preserve"> on behalf of participating employers</w:t>
      </w:r>
      <w:r w:rsidR="00516030">
        <w:t xml:space="preserve"> and their current and former employees</w:t>
      </w:r>
      <w:r w:rsidRPr="002B0CE8">
        <w:t xml:space="preserve">. You can find out more about roles and responsibilities in </w:t>
      </w:r>
      <w:hyperlink w:anchor="_Appendix_B_–" w:history="1">
        <w:r w:rsidRPr="00292680">
          <w:rPr>
            <w:rStyle w:val="Hyperlink"/>
          </w:rPr>
          <w:t>Appendix B</w:t>
        </w:r>
      </w:hyperlink>
      <w:r w:rsidRPr="00292680">
        <w:t>.</w:t>
      </w:r>
    </w:p>
    <w:p w14:paraId="52AB6981" w14:textId="7327B69E" w:rsidR="002B0CE8" w:rsidRDefault="002B0CE8" w:rsidP="002B0CE8">
      <w:pPr>
        <w:pStyle w:val="Heading2"/>
      </w:pPr>
      <w:bookmarkStart w:id="4" w:name="_Toc194482851"/>
      <w:r>
        <w:t xml:space="preserve">1.2 What are the </w:t>
      </w:r>
      <w:r w:rsidR="00AE3F19">
        <w:t>Fund</w:t>
      </w:r>
      <w:r>
        <w:t>ing strategy objectives?</w:t>
      </w:r>
      <w:bookmarkEnd w:id="4"/>
    </w:p>
    <w:p w14:paraId="5E7985B0" w14:textId="6D017817" w:rsidR="00C55A2E" w:rsidRDefault="00C55A2E" w:rsidP="00C55A2E">
      <w:r>
        <w:t xml:space="preserve">The </w:t>
      </w:r>
      <w:r w:rsidR="00AE3F19">
        <w:t>Fund</w:t>
      </w:r>
      <w:r>
        <w:t>ing strategy objectives are to:</w:t>
      </w:r>
      <w:r w:rsidR="00275C3A">
        <w:t xml:space="preserve"> </w:t>
      </w:r>
    </w:p>
    <w:p w14:paraId="770A90C5" w14:textId="710FD0D6" w:rsidR="00C55A2E" w:rsidRDefault="00C55A2E" w:rsidP="00C55A2E">
      <w:pPr>
        <w:pStyle w:val="ListParagraph"/>
        <w:numPr>
          <w:ilvl w:val="0"/>
          <w:numId w:val="22"/>
        </w:numPr>
      </w:pPr>
      <w:r>
        <w:t xml:space="preserve">take a prudent long-term view to secure the </w:t>
      </w:r>
      <w:r w:rsidR="00516030">
        <w:t>legal</w:t>
      </w:r>
      <w:r>
        <w:t xml:space="preserve"> requirement for long-term solvency, with sufficient </w:t>
      </w:r>
      <w:r w:rsidR="00AE3F19">
        <w:t>Fund</w:t>
      </w:r>
      <w:r>
        <w:t xml:space="preserve">s to pay benefits to members and their dependants </w:t>
      </w:r>
    </w:p>
    <w:p w14:paraId="217ABA1B" w14:textId="06CB99A2" w:rsidR="00C55A2E" w:rsidRDefault="00C55A2E" w:rsidP="00C55A2E">
      <w:pPr>
        <w:pStyle w:val="ListParagraph"/>
        <w:numPr>
          <w:ilvl w:val="0"/>
          <w:numId w:val="22"/>
        </w:numPr>
      </w:pPr>
      <w:r>
        <w:t xml:space="preserve">use a balanced investment strategy to minimise long-term cash contributions from employers and meet the </w:t>
      </w:r>
      <w:r w:rsidR="00516030">
        <w:t>legal</w:t>
      </w:r>
      <w:r>
        <w:t xml:space="preserve"> requirement for long-term cost efficiency</w:t>
      </w:r>
    </w:p>
    <w:p w14:paraId="19ECA827" w14:textId="77777777" w:rsidR="00C55A2E" w:rsidRDefault="00C55A2E" w:rsidP="00C55A2E">
      <w:pPr>
        <w:pStyle w:val="ListParagraph"/>
        <w:numPr>
          <w:ilvl w:val="0"/>
          <w:numId w:val="22"/>
        </w:numPr>
      </w:pPr>
      <w:r>
        <w:t>where appropriate, ensure stable employer contribution rates</w:t>
      </w:r>
    </w:p>
    <w:p w14:paraId="365D0B1E" w14:textId="31F30DDA" w:rsidR="00C55A2E" w:rsidRDefault="00C55A2E" w:rsidP="00A237C4">
      <w:pPr>
        <w:pStyle w:val="ListParagraph"/>
        <w:numPr>
          <w:ilvl w:val="0"/>
          <w:numId w:val="22"/>
        </w:numPr>
      </w:pPr>
      <w:r>
        <w:t xml:space="preserve">reflect different employers’ characteristics to set their contribution rates, using a transparent </w:t>
      </w:r>
      <w:r w:rsidR="00AE3F19">
        <w:t>Fund</w:t>
      </w:r>
      <w:r>
        <w:t xml:space="preserve">ing strategy </w:t>
      </w:r>
    </w:p>
    <w:p w14:paraId="76337F44" w14:textId="43A18FD1" w:rsidR="0003310A" w:rsidRDefault="00C55A2E" w:rsidP="00A237C4">
      <w:pPr>
        <w:pStyle w:val="ListParagraph"/>
        <w:numPr>
          <w:ilvl w:val="0"/>
          <w:numId w:val="22"/>
        </w:numPr>
      </w:pPr>
      <w:r>
        <w:t>use reasonable measures to reduce the risk of an employer defaulting on its pension obligations.</w:t>
      </w:r>
    </w:p>
    <w:p w14:paraId="3F5BEA0C" w14:textId="49AE89D4" w:rsidR="00CE2BC8" w:rsidRDefault="00917278" w:rsidP="00062EB4">
      <w:r>
        <w:t>T</w:t>
      </w:r>
      <w:r w:rsidR="005478B2" w:rsidRPr="005478B2">
        <w:t xml:space="preserve">he Fund will engage with employers when developing </w:t>
      </w:r>
      <w:r w:rsidR="00C876DB">
        <w:t xml:space="preserve">the </w:t>
      </w:r>
      <w:r w:rsidR="005478B2" w:rsidRPr="005478B2">
        <w:t>funding strategy in a way which balances the risk appetite of stakeholders.</w:t>
      </w:r>
    </w:p>
    <w:p w14:paraId="01976036" w14:textId="00996896" w:rsidR="00C55A2E" w:rsidRDefault="00C55A2E" w:rsidP="00C55A2E">
      <w:pPr>
        <w:pStyle w:val="Heading2"/>
      </w:pPr>
      <w:bookmarkStart w:id="5" w:name="_Toc194482852"/>
      <w:r>
        <w:t>1.3 Who is the FSS for?</w:t>
      </w:r>
      <w:bookmarkEnd w:id="5"/>
    </w:p>
    <w:p w14:paraId="14A940D6" w14:textId="043D8845" w:rsidR="00C55A2E" w:rsidRDefault="00C55A2E" w:rsidP="00C55A2E">
      <w:r>
        <w:t xml:space="preserve">The FSS is mainly for employers participating in the </w:t>
      </w:r>
      <w:r w:rsidR="00AE3F19">
        <w:t>Fund</w:t>
      </w:r>
      <w:r>
        <w:t xml:space="preserve"> because it sets out how money will be collected from them to meet the </w:t>
      </w:r>
      <w:r w:rsidR="00AE3F19">
        <w:t>Fund</w:t>
      </w:r>
      <w:r>
        <w:t xml:space="preserve">’s obligations to pay members’ benefits. </w:t>
      </w:r>
    </w:p>
    <w:p w14:paraId="184DE8C9" w14:textId="1507EEF3" w:rsidR="00C55A2E" w:rsidRDefault="00C55A2E" w:rsidP="00C55A2E">
      <w:r>
        <w:t xml:space="preserve">Different types of employers participate in the </w:t>
      </w:r>
      <w:r w:rsidR="00AE3F19">
        <w:t>Fund</w:t>
      </w:r>
      <w:r>
        <w:t>:</w:t>
      </w:r>
    </w:p>
    <w:p w14:paraId="5790CD21" w14:textId="15FB0079" w:rsidR="00C55A2E" w:rsidRDefault="00C55A2E" w:rsidP="00C55A2E">
      <w:pPr>
        <w:pStyle w:val="Heading3"/>
      </w:pPr>
      <w:bookmarkStart w:id="6" w:name="_Toc194482853"/>
      <w:r>
        <w:t>Scheduled bodies</w:t>
      </w:r>
      <w:bookmarkEnd w:id="6"/>
    </w:p>
    <w:p w14:paraId="594DD13C" w14:textId="6ED229CA" w:rsidR="00C55A2E" w:rsidRPr="00C55A2E" w:rsidRDefault="00C55A2E" w:rsidP="00C55A2E">
      <w:r w:rsidRPr="00C55A2E">
        <w:t xml:space="preserve">Employers who are specified in </w:t>
      </w:r>
      <w:r w:rsidR="00C876DB">
        <w:t xml:space="preserve">part 1 of </w:t>
      </w:r>
      <w:r w:rsidRPr="00C55A2E">
        <w:t xml:space="preserve">a schedule </w:t>
      </w:r>
      <w:r w:rsidR="00C876DB">
        <w:t xml:space="preserve">2 </w:t>
      </w:r>
      <w:r w:rsidRPr="00C55A2E">
        <w:t>to the LGPS regulations</w:t>
      </w:r>
      <w:r w:rsidR="00C876DB">
        <w:t>.</w:t>
      </w:r>
      <w:r w:rsidRPr="00C55A2E">
        <w:t xml:space="preserve"> </w:t>
      </w:r>
      <w:r w:rsidR="007220C9">
        <w:t xml:space="preserve">This </w:t>
      </w:r>
      <w:r w:rsidRPr="00C55A2E">
        <w:t>includ</w:t>
      </w:r>
      <w:r w:rsidR="007220C9">
        <w:t>es</w:t>
      </w:r>
      <w:r w:rsidRPr="00C55A2E">
        <w:t xml:space="preserve"> </w:t>
      </w:r>
      <w:r w:rsidR="007220C9">
        <w:t xml:space="preserve">large </w:t>
      </w:r>
      <w:r w:rsidRPr="00C55A2E">
        <w:t>councils</w:t>
      </w:r>
      <w:r w:rsidR="007220C9">
        <w:t>,</w:t>
      </w:r>
      <w:r w:rsidRPr="00C55A2E">
        <w:t xml:space="preserve"> academies and further education establishments. Scheduled bodies must give employees access to the LGPS</w:t>
      </w:r>
      <w:r w:rsidR="00F624FD">
        <w:t>,</w:t>
      </w:r>
      <w:r w:rsidRPr="00C55A2E">
        <w:t xml:space="preserve"> if they </w:t>
      </w:r>
      <w:r w:rsidR="00F624FD">
        <w:t>aren’t</w:t>
      </w:r>
      <w:r w:rsidR="000B3AA1">
        <w:t xml:space="preserve"> eligible to join</w:t>
      </w:r>
      <w:r w:rsidRPr="00C55A2E">
        <w:t xml:space="preserve"> another </w:t>
      </w:r>
      <w:r w:rsidR="005D2B68">
        <w:t xml:space="preserve">public sector </w:t>
      </w:r>
      <w:r w:rsidRPr="00C55A2E">
        <w:t>pension scheme</w:t>
      </w:r>
      <w:r w:rsidR="005D2B68">
        <w:t>.</w:t>
      </w:r>
    </w:p>
    <w:p w14:paraId="4EFDC6CE" w14:textId="1CDEB38D" w:rsidR="00C55A2E" w:rsidRDefault="00C55A2E" w:rsidP="00C55A2E">
      <w:pPr>
        <w:pStyle w:val="Heading3"/>
      </w:pPr>
      <w:bookmarkStart w:id="7" w:name="_Toc194482854"/>
      <w:r>
        <w:t>Designated employers</w:t>
      </w:r>
      <w:r w:rsidR="00137781">
        <w:t xml:space="preserve"> </w:t>
      </w:r>
      <w:r w:rsidR="00137781" w:rsidRPr="00932A11">
        <w:rPr>
          <w:rFonts w:asciiTheme="minorHAnsi" w:hAnsiTheme="minorHAnsi" w:cstheme="minorHAnsi"/>
        </w:rPr>
        <w:t>(otherwise known as Resolution bodies)</w:t>
      </w:r>
      <w:bookmarkEnd w:id="7"/>
    </w:p>
    <w:p w14:paraId="0E963219" w14:textId="396F800F" w:rsidR="00C55A2E" w:rsidRDefault="00C55A2E" w:rsidP="00C55A2E">
      <w:r w:rsidRPr="00C55A2E">
        <w:t xml:space="preserve">Employers like town and parish councils can join the LGPS through a resolution. If a resolution is passed, the </w:t>
      </w:r>
      <w:r w:rsidR="00AE3F19">
        <w:t>Fund</w:t>
      </w:r>
      <w:r w:rsidRPr="00C55A2E">
        <w:t xml:space="preserve"> can’t refuse entry. The employer then decides which employees can join the scheme.</w:t>
      </w:r>
    </w:p>
    <w:p w14:paraId="731FF8FC" w14:textId="4A48D3BE" w:rsidR="00C55A2E" w:rsidRDefault="00C55A2E" w:rsidP="00062EB4">
      <w:pPr>
        <w:pStyle w:val="Heading3"/>
        <w:tabs>
          <w:tab w:val="clear" w:pos="4513"/>
          <w:tab w:val="clear" w:pos="9026"/>
          <w:tab w:val="left" w:pos="7462"/>
        </w:tabs>
      </w:pPr>
      <w:bookmarkStart w:id="8" w:name="_Toc194482855"/>
      <w:r>
        <w:t>Admission bodies</w:t>
      </w:r>
      <w:bookmarkEnd w:id="8"/>
      <w:r w:rsidR="0022296D">
        <w:tab/>
      </w:r>
    </w:p>
    <w:p w14:paraId="1BDA030E" w14:textId="145E9FB3" w:rsidR="00C55A2E" w:rsidRDefault="00C55A2E" w:rsidP="00C55A2E">
      <w:r w:rsidRPr="00C55A2E">
        <w:t xml:space="preserve">Other employers can join through an admission agreement. The </w:t>
      </w:r>
      <w:r w:rsidR="00AE3F19">
        <w:t>Fund</w:t>
      </w:r>
      <w:r w:rsidRPr="00C55A2E">
        <w:t xml:space="preserve"> can set participation criteria for them and can refuse entry if the requirements aren’t met. This type of employer includes contractors providing outsourced services like cleaning or catering to a scheduled body.</w:t>
      </w:r>
    </w:p>
    <w:p w14:paraId="728BC6B5" w14:textId="0F9A2A10" w:rsidR="00C55A2E" w:rsidRDefault="00C55A2E" w:rsidP="00C55A2E">
      <w:pPr>
        <w:rPr>
          <w:iCs/>
        </w:rPr>
      </w:pPr>
      <w:r w:rsidRPr="00C55A2E">
        <w:rPr>
          <w:iCs/>
        </w:rPr>
        <w:lastRenderedPageBreak/>
        <w:t xml:space="preserve">Some existing employers may be referred to as </w:t>
      </w:r>
      <w:r w:rsidRPr="00C55A2E">
        <w:rPr>
          <w:i/>
        </w:rPr>
        <w:t>community admission bodies</w:t>
      </w:r>
      <w:r w:rsidRPr="00C55A2E">
        <w:rPr>
          <w:b/>
          <w:bCs/>
          <w:iCs/>
        </w:rPr>
        <w:t xml:space="preserve"> </w:t>
      </w:r>
      <w:r w:rsidRPr="00C55A2E">
        <w:rPr>
          <w:iCs/>
        </w:rPr>
        <w:t xml:space="preserve">(CABs). CABs are employers with a community of interest with another scheme employer. Others may be called </w:t>
      </w:r>
      <w:r w:rsidRPr="00C55A2E">
        <w:rPr>
          <w:i/>
        </w:rPr>
        <w:t>transferee admission bodies</w:t>
      </w:r>
      <w:r w:rsidRPr="00C55A2E">
        <w:rPr>
          <w:b/>
          <w:bCs/>
          <w:iCs/>
        </w:rPr>
        <w:t xml:space="preserve"> </w:t>
      </w:r>
      <w:r w:rsidRPr="00C55A2E">
        <w:rPr>
          <w:iCs/>
        </w:rPr>
        <w:t>(TABs)</w:t>
      </w:r>
      <w:r w:rsidR="008F30E2">
        <w:rPr>
          <w:iCs/>
        </w:rPr>
        <w:t>.</w:t>
      </w:r>
      <w:r w:rsidRPr="00C55A2E">
        <w:rPr>
          <w:iCs/>
        </w:rPr>
        <w:t xml:space="preserve"> </w:t>
      </w:r>
      <w:r w:rsidR="008F30E2">
        <w:rPr>
          <w:iCs/>
        </w:rPr>
        <w:t xml:space="preserve">These are contractors </w:t>
      </w:r>
      <w:r w:rsidRPr="00C55A2E">
        <w:rPr>
          <w:iCs/>
        </w:rPr>
        <w:t xml:space="preserve">that provide services for </w:t>
      </w:r>
      <w:r w:rsidR="008F30E2">
        <w:rPr>
          <w:iCs/>
        </w:rPr>
        <w:t xml:space="preserve">other </w:t>
      </w:r>
      <w:r w:rsidRPr="00C55A2E">
        <w:rPr>
          <w:iCs/>
        </w:rPr>
        <w:t>scheme employers. These terms aren’t defined under current regulations but remain in common use from previous regulations.</w:t>
      </w:r>
    </w:p>
    <w:p w14:paraId="304A82F3" w14:textId="77777777" w:rsidR="00C939CA" w:rsidRPr="00634895" w:rsidRDefault="00C939CA" w:rsidP="00C939CA">
      <w:pPr>
        <w:rPr>
          <w:rFonts w:cstheme="minorHAnsi"/>
        </w:rPr>
      </w:pPr>
      <w:r w:rsidRPr="00634895">
        <w:rPr>
          <w:rFonts w:cstheme="minorHAnsi"/>
        </w:rPr>
        <w:t>The Scheme Advisory Board refer to three different tiers of employers which may participate in the LGPS, specifically:</w:t>
      </w:r>
    </w:p>
    <w:p w14:paraId="358E78A6" w14:textId="77777777" w:rsidR="00C939CA" w:rsidRPr="00634895" w:rsidRDefault="00C939CA" w:rsidP="00C939CA">
      <w:pPr>
        <w:pStyle w:val="ListParagraph"/>
        <w:numPr>
          <w:ilvl w:val="0"/>
          <w:numId w:val="47"/>
        </w:numPr>
        <w:rPr>
          <w:rFonts w:cstheme="minorHAnsi"/>
        </w:rPr>
      </w:pPr>
      <w:r w:rsidRPr="00634895">
        <w:rPr>
          <w:rFonts w:cstheme="minorHAnsi"/>
        </w:rPr>
        <w:t>Tier 1 – Local Authorities (including contractors participating in the LGPS with Local Authority backing)</w:t>
      </w:r>
    </w:p>
    <w:p w14:paraId="35B74003" w14:textId="77777777" w:rsidR="00C939CA" w:rsidRPr="00634895" w:rsidRDefault="00C939CA" w:rsidP="00C939CA">
      <w:pPr>
        <w:pStyle w:val="ListParagraph"/>
        <w:numPr>
          <w:ilvl w:val="0"/>
          <w:numId w:val="47"/>
        </w:numPr>
        <w:rPr>
          <w:rFonts w:cstheme="minorHAnsi"/>
        </w:rPr>
      </w:pPr>
      <w:r w:rsidRPr="00634895">
        <w:rPr>
          <w:rFonts w:cstheme="minorHAnsi"/>
        </w:rPr>
        <w:t>Tier 2 – Academy Trusts and Further Education Institutions (Colleges).</w:t>
      </w:r>
    </w:p>
    <w:p w14:paraId="04A15F33" w14:textId="284C6F12" w:rsidR="00C939CA" w:rsidRPr="00C939CA" w:rsidRDefault="00C939CA" w:rsidP="00062EB4">
      <w:pPr>
        <w:pStyle w:val="ListParagraph"/>
        <w:numPr>
          <w:ilvl w:val="0"/>
          <w:numId w:val="46"/>
        </w:numPr>
        <w:rPr>
          <w:rFonts w:cstheme="minorHAnsi"/>
        </w:rPr>
      </w:pPr>
      <w:r w:rsidRPr="00634895">
        <w:rPr>
          <w:rFonts w:cstheme="minorHAnsi"/>
        </w:rPr>
        <w:t xml:space="preserve">Tier 3 – Standalone employers with no local or national taxpayer backing. </w:t>
      </w:r>
      <w:r w:rsidR="008F30E2">
        <w:rPr>
          <w:rFonts w:cstheme="minorHAnsi"/>
        </w:rPr>
        <w:t>This i</w:t>
      </w:r>
      <w:r w:rsidRPr="00634895">
        <w:rPr>
          <w:rFonts w:cstheme="minorHAnsi"/>
        </w:rPr>
        <w:t>nclude</w:t>
      </w:r>
      <w:r w:rsidR="008F30E2">
        <w:rPr>
          <w:rFonts w:cstheme="minorHAnsi"/>
        </w:rPr>
        <w:t>s</w:t>
      </w:r>
      <w:r w:rsidRPr="00634895">
        <w:rPr>
          <w:rFonts w:cstheme="minorHAnsi"/>
        </w:rPr>
        <w:t xml:space="preserve"> universities, housing associations and charities</w:t>
      </w:r>
    </w:p>
    <w:p w14:paraId="3CBC8CC3" w14:textId="28EC492C" w:rsidR="005F4AA5" w:rsidRDefault="005F4AA5" w:rsidP="005F4AA5">
      <w:pPr>
        <w:pStyle w:val="Heading2"/>
      </w:pPr>
      <w:bookmarkStart w:id="9" w:name="_Toc194482856"/>
      <w:r>
        <w:t>1.</w:t>
      </w:r>
      <w:r w:rsidR="005E7BF2">
        <w:t>4</w:t>
      </w:r>
      <w:r>
        <w:t xml:space="preserve"> How is the </w:t>
      </w:r>
      <w:r w:rsidR="00AE3F19">
        <w:t>Fund</w:t>
      </w:r>
      <w:r>
        <w:t xml:space="preserve">ing strategy specific to the Northamptonshire Pension </w:t>
      </w:r>
      <w:r w:rsidR="00AE3F19">
        <w:t>Fund</w:t>
      </w:r>
      <w:r>
        <w:t>?</w:t>
      </w:r>
      <w:bookmarkEnd w:id="9"/>
    </w:p>
    <w:p w14:paraId="18B0B4B8" w14:textId="72B10E85" w:rsidR="00A5679E" w:rsidRDefault="005F4AA5" w:rsidP="005F4AA5">
      <w:r w:rsidRPr="005F4AA5">
        <w:t xml:space="preserve">The </w:t>
      </w:r>
      <w:r w:rsidR="00AE3F19">
        <w:t>Fund</w:t>
      </w:r>
      <w:r w:rsidRPr="005F4AA5">
        <w:t xml:space="preserve">ing strategy reflects the specific characteristics of the </w:t>
      </w:r>
      <w:r w:rsidR="00AE3F19">
        <w:t>Fund</w:t>
      </w:r>
      <w:r w:rsidRPr="005F4AA5">
        <w:t xml:space="preserve"> employers and its own investment strategy.</w:t>
      </w:r>
    </w:p>
    <w:p w14:paraId="0AFD8470" w14:textId="0ACD84BC" w:rsidR="00A5679E" w:rsidRPr="00D63BC5" w:rsidRDefault="00A5679E" w:rsidP="16AB2514">
      <w:pPr>
        <w:keepNext/>
        <w:keepLines/>
        <w:tabs>
          <w:tab w:val="center" w:pos="4513"/>
          <w:tab w:val="right" w:pos="9026"/>
        </w:tabs>
        <w:spacing w:before="240" w:after="0" w:line="240" w:lineRule="auto"/>
        <w:outlineLvl w:val="1"/>
      </w:pPr>
      <w:bookmarkStart w:id="10" w:name="_Toc194482857"/>
      <w:r w:rsidRPr="00D63BC5">
        <w:rPr>
          <w:rFonts w:eastAsiaTheme="majorEastAsia"/>
          <w:b/>
          <w:bCs/>
          <w:color w:val="244D7A"/>
          <w:sz w:val="24"/>
          <w:szCs w:val="24"/>
        </w:rPr>
        <w:t xml:space="preserve">1.5 </w:t>
      </w:r>
      <w:bookmarkEnd w:id="10"/>
      <w:r w:rsidR="00B76651" w:rsidRPr="00D63BC5">
        <w:rPr>
          <w:rFonts w:eastAsiaTheme="majorEastAsia"/>
          <w:b/>
          <w:bCs/>
          <w:color w:val="244D7A"/>
          <w:sz w:val="24"/>
          <w:szCs w:val="24"/>
        </w:rPr>
        <w:t>Effective date</w:t>
      </w:r>
      <w:r w:rsidR="002F1A99" w:rsidRPr="00D63BC5">
        <w:rPr>
          <w:rFonts w:eastAsiaTheme="majorEastAsia"/>
          <w:b/>
          <w:bCs/>
          <w:color w:val="244D7A"/>
          <w:sz w:val="24"/>
          <w:szCs w:val="24"/>
        </w:rPr>
        <w:t xml:space="preserve"> and review</w:t>
      </w:r>
    </w:p>
    <w:p w14:paraId="77787FDD" w14:textId="20010F1D" w:rsidR="00A1335A" w:rsidRPr="00A5679E" w:rsidRDefault="00A5679E" w:rsidP="00A5679E">
      <w:pPr>
        <w:spacing w:before="20" w:after="200" w:line="280" w:lineRule="atLeast"/>
        <w:rPr>
          <w:rFonts w:cstheme="minorHAnsi"/>
        </w:rPr>
      </w:pPr>
      <w:r w:rsidRPr="00A5679E">
        <w:rPr>
          <w:rFonts w:cstheme="minorHAnsi"/>
        </w:rPr>
        <w:t>The FSS is reviewed in detail at least every three years ahead of the triennial valuation</w:t>
      </w:r>
      <w:r w:rsidR="00CF0AF7">
        <w:rPr>
          <w:rFonts w:cstheme="minorHAnsi"/>
        </w:rPr>
        <w:t>.</w:t>
      </w:r>
      <w:r w:rsidRPr="00A5679E">
        <w:rPr>
          <w:rFonts w:cstheme="minorHAnsi"/>
        </w:rPr>
        <w:t xml:space="preserve"> </w:t>
      </w:r>
      <w:r w:rsidR="00CF0AF7">
        <w:rPr>
          <w:rFonts w:cstheme="minorHAnsi"/>
        </w:rPr>
        <w:t>A</w:t>
      </w:r>
      <w:r w:rsidRPr="00A5679E">
        <w:rPr>
          <w:rFonts w:cstheme="minorHAnsi"/>
        </w:rPr>
        <w:t>n annual check is carried out in the intervening years.</w:t>
      </w:r>
    </w:p>
    <w:tbl>
      <w:tblPr>
        <w:tblStyle w:val="TableGrid"/>
        <w:tblW w:w="0" w:type="auto"/>
        <w:tblLook w:val="04A0" w:firstRow="1" w:lastRow="0" w:firstColumn="1" w:lastColumn="0" w:noHBand="0" w:noVBand="1"/>
      </w:tblPr>
      <w:tblGrid>
        <w:gridCol w:w="3012"/>
        <w:gridCol w:w="3013"/>
        <w:gridCol w:w="3013"/>
      </w:tblGrid>
      <w:tr w:rsidR="00A1335A" w:rsidRPr="00A1335A" w14:paraId="349AC880" w14:textId="77777777" w:rsidTr="001E179F">
        <w:tc>
          <w:tcPr>
            <w:tcW w:w="3012" w:type="dxa"/>
            <w:tcBorders>
              <w:top w:val="single" w:sz="4" w:space="0" w:color="auto"/>
              <w:left w:val="single" w:sz="4" w:space="0" w:color="auto"/>
              <w:bottom w:val="single" w:sz="4" w:space="0" w:color="auto"/>
              <w:right w:val="single" w:sz="4" w:space="0" w:color="auto"/>
            </w:tcBorders>
            <w:shd w:val="clear" w:color="auto" w:fill="244D7A"/>
            <w:hideMark/>
          </w:tcPr>
          <w:p w14:paraId="64CE3353"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Date of review</w:t>
            </w:r>
          </w:p>
        </w:tc>
        <w:tc>
          <w:tcPr>
            <w:tcW w:w="3013" w:type="dxa"/>
            <w:tcBorders>
              <w:top w:val="single" w:sz="4" w:space="0" w:color="auto"/>
              <w:left w:val="single" w:sz="4" w:space="0" w:color="auto"/>
              <w:bottom w:val="single" w:sz="4" w:space="0" w:color="auto"/>
              <w:right w:val="single" w:sz="4" w:space="0" w:color="auto"/>
            </w:tcBorders>
            <w:shd w:val="clear" w:color="auto" w:fill="244D7A"/>
            <w:hideMark/>
          </w:tcPr>
          <w:p w14:paraId="5593E2AC"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Policy effective date:</w:t>
            </w:r>
          </w:p>
        </w:tc>
        <w:tc>
          <w:tcPr>
            <w:tcW w:w="3013" w:type="dxa"/>
            <w:tcBorders>
              <w:top w:val="single" w:sz="4" w:space="0" w:color="auto"/>
              <w:left w:val="single" w:sz="4" w:space="0" w:color="auto"/>
              <w:bottom w:val="single" w:sz="4" w:space="0" w:color="auto"/>
              <w:right w:val="single" w:sz="4" w:space="0" w:color="auto"/>
            </w:tcBorders>
            <w:shd w:val="clear" w:color="auto" w:fill="244D7A"/>
            <w:hideMark/>
          </w:tcPr>
          <w:p w14:paraId="256BD36D"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Review type</w:t>
            </w:r>
          </w:p>
        </w:tc>
      </w:tr>
      <w:tr w:rsidR="00A1335A" w:rsidRPr="00A1335A" w14:paraId="1427F582" w14:textId="77777777" w:rsidTr="00A1335A">
        <w:tc>
          <w:tcPr>
            <w:tcW w:w="3012" w:type="dxa"/>
            <w:tcBorders>
              <w:top w:val="single" w:sz="4" w:space="0" w:color="auto"/>
              <w:left w:val="single" w:sz="4" w:space="0" w:color="auto"/>
              <w:bottom w:val="single" w:sz="4" w:space="0" w:color="auto"/>
              <w:right w:val="single" w:sz="4" w:space="0" w:color="auto"/>
            </w:tcBorders>
            <w:hideMark/>
          </w:tcPr>
          <w:p w14:paraId="310AB06A" w14:textId="71CBA39E" w:rsidR="00A1335A" w:rsidRPr="00A1335A" w:rsidRDefault="00D63BC5" w:rsidP="00A1335A">
            <w:pPr>
              <w:spacing w:before="20" w:after="200" w:line="280" w:lineRule="atLeast"/>
              <w:rPr>
                <w:rFonts w:cstheme="minorHAnsi"/>
              </w:rPr>
            </w:pPr>
            <w:r>
              <w:rPr>
                <w:rFonts w:cstheme="minorHAnsi"/>
              </w:rPr>
              <w:t xml:space="preserve">September </w:t>
            </w:r>
            <w:r w:rsidR="002F1A99">
              <w:rPr>
                <w:rFonts w:cstheme="minorHAnsi"/>
              </w:rPr>
              <w:t>2025</w:t>
            </w:r>
          </w:p>
        </w:tc>
        <w:tc>
          <w:tcPr>
            <w:tcW w:w="3013" w:type="dxa"/>
            <w:tcBorders>
              <w:top w:val="single" w:sz="4" w:space="0" w:color="auto"/>
              <w:left w:val="single" w:sz="4" w:space="0" w:color="auto"/>
              <w:bottom w:val="single" w:sz="4" w:space="0" w:color="auto"/>
              <w:right w:val="single" w:sz="4" w:space="0" w:color="auto"/>
            </w:tcBorders>
            <w:hideMark/>
          </w:tcPr>
          <w:p w14:paraId="021EAB27" w14:textId="3EBB13AB" w:rsidR="00A1335A" w:rsidRPr="00A1335A" w:rsidRDefault="002F1A99" w:rsidP="00A1335A">
            <w:pPr>
              <w:spacing w:before="20" w:after="200" w:line="280" w:lineRule="atLeast"/>
              <w:rPr>
                <w:rFonts w:cstheme="minorHAnsi"/>
              </w:rPr>
            </w:pPr>
            <w:r>
              <w:rPr>
                <w:rFonts w:cstheme="minorHAnsi"/>
              </w:rPr>
              <w:t>April 2026</w:t>
            </w:r>
          </w:p>
        </w:tc>
        <w:tc>
          <w:tcPr>
            <w:tcW w:w="3013" w:type="dxa"/>
            <w:tcBorders>
              <w:top w:val="single" w:sz="4" w:space="0" w:color="auto"/>
              <w:left w:val="single" w:sz="4" w:space="0" w:color="auto"/>
              <w:bottom w:val="single" w:sz="4" w:space="0" w:color="auto"/>
              <w:right w:val="single" w:sz="4" w:space="0" w:color="auto"/>
            </w:tcBorders>
            <w:hideMark/>
          </w:tcPr>
          <w:p w14:paraId="6D98A612" w14:textId="77777777" w:rsidR="00A1335A" w:rsidRPr="00A1335A" w:rsidRDefault="00A1335A" w:rsidP="00A1335A">
            <w:pPr>
              <w:spacing w:before="20" w:after="200" w:line="280" w:lineRule="atLeast"/>
              <w:rPr>
                <w:rFonts w:cstheme="minorHAnsi"/>
              </w:rPr>
            </w:pPr>
            <w:r w:rsidRPr="00A1335A">
              <w:rPr>
                <w:rFonts w:cstheme="minorHAnsi"/>
              </w:rPr>
              <w:t>Committee</w:t>
            </w:r>
          </w:p>
        </w:tc>
      </w:tr>
    </w:tbl>
    <w:p w14:paraId="3ACE7D5A" w14:textId="1565A505" w:rsidR="00A5679E" w:rsidRPr="00A5679E" w:rsidRDefault="00A5679E" w:rsidP="00A5679E">
      <w:pPr>
        <w:spacing w:before="20" w:after="200" w:line="280" w:lineRule="atLeast"/>
        <w:rPr>
          <w:rFonts w:cstheme="minorHAnsi"/>
        </w:rPr>
      </w:pPr>
    </w:p>
    <w:p w14:paraId="1EABB62C" w14:textId="043EDE54" w:rsidR="00A5679E" w:rsidRPr="00A5679E" w:rsidRDefault="00A5679E" w:rsidP="16AB2514">
      <w:pPr>
        <w:spacing w:before="20" w:after="200" w:line="280" w:lineRule="atLeast"/>
      </w:pPr>
      <w:r w:rsidRPr="16AB2514">
        <w:t>Amendments to the FSS may be</w:t>
      </w:r>
      <w:r w:rsidR="007264B8" w:rsidRPr="16AB2514">
        <w:t xml:space="preserve"> </w:t>
      </w:r>
      <w:r w:rsidR="007264B8" w:rsidRPr="00D63BC5">
        <w:t>made</w:t>
      </w:r>
      <w:r w:rsidRPr="16AB2514">
        <w:t xml:space="preserve"> in the following circumstances:</w:t>
      </w:r>
    </w:p>
    <w:p w14:paraId="3C786C9C"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material changes to the scheme benefit structure (e.g. HM Treasury-led)</w:t>
      </w:r>
    </w:p>
    <w:p w14:paraId="72EB601B"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on the advice of the fund actuary</w:t>
      </w:r>
    </w:p>
    <w:p w14:paraId="4AD2D7EE"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Significant changes to investment strategy or if there has been significant market volatility which impacts the FSS or goes beyond FSS expectation</w:t>
      </w:r>
    </w:p>
    <w:p w14:paraId="15B2A380"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if there have been significant changes to the fund membership and/or fund maturity profile</w:t>
      </w:r>
    </w:p>
    <w:p w14:paraId="01371768" w14:textId="146C4203" w:rsidR="00A5679E" w:rsidRPr="00A5679E" w:rsidRDefault="00A5679E" w:rsidP="00A5679E">
      <w:pPr>
        <w:numPr>
          <w:ilvl w:val="0"/>
          <w:numId w:val="48"/>
        </w:numPr>
        <w:spacing w:before="20" w:after="200" w:line="280" w:lineRule="atLeast"/>
        <w:rPr>
          <w:rFonts w:cstheme="minorHAnsi"/>
        </w:rPr>
      </w:pPr>
      <w:r w:rsidRPr="00A5679E">
        <w:rPr>
          <w:rFonts w:cstheme="minorHAnsi"/>
        </w:rPr>
        <w:t>if there have been significant or notable changes to the number, type, or  circumstances of any of the employing authorities that impact the funding strategy</w:t>
      </w:r>
      <w:r w:rsidR="00A00CFB">
        <w:rPr>
          <w:rFonts w:cstheme="minorHAnsi"/>
        </w:rPr>
        <w:t>.</w:t>
      </w:r>
      <w:r w:rsidR="003D4095">
        <w:rPr>
          <w:rFonts w:cstheme="minorHAnsi"/>
        </w:rPr>
        <w:t xml:space="preserve"> For example,</w:t>
      </w:r>
      <w:r w:rsidRPr="00A5679E">
        <w:rPr>
          <w:rFonts w:cstheme="minorHAnsi"/>
        </w:rPr>
        <w:t xml:space="preserve"> </w:t>
      </w:r>
      <w:r w:rsidR="003D4095">
        <w:rPr>
          <w:rFonts w:cstheme="minorHAnsi"/>
        </w:rPr>
        <w:t xml:space="preserve">employer </w:t>
      </w:r>
      <w:r w:rsidRPr="00A5679E">
        <w:rPr>
          <w:rFonts w:cstheme="minorHAnsi"/>
        </w:rPr>
        <w:t>exit</w:t>
      </w:r>
      <w:r w:rsidR="00AE7BF1">
        <w:rPr>
          <w:rFonts w:cstheme="minorHAnsi"/>
        </w:rPr>
        <w:t>,</w:t>
      </w:r>
      <w:r w:rsidR="006D2517">
        <w:rPr>
          <w:rFonts w:cstheme="minorHAnsi"/>
        </w:rPr>
        <w:t xml:space="preserve"> or </w:t>
      </w:r>
      <w:r w:rsidRPr="00A5679E">
        <w:rPr>
          <w:rFonts w:cstheme="minorHAnsi"/>
        </w:rPr>
        <w:t>failure</w:t>
      </w:r>
      <w:r w:rsidR="006D2517">
        <w:rPr>
          <w:rFonts w:cstheme="minorHAnsi"/>
        </w:rPr>
        <w:t>.</w:t>
      </w:r>
      <w:r w:rsidRPr="00A5679E">
        <w:rPr>
          <w:rFonts w:cstheme="minorHAnsi"/>
        </w:rPr>
        <w:t xml:space="preserve"> </w:t>
      </w:r>
      <w:r w:rsidR="006D2517">
        <w:rPr>
          <w:rFonts w:cstheme="minorHAnsi"/>
        </w:rPr>
        <w:t>Particularly where such changes impact</w:t>
      </w:r>
      <w:r w:rsidR="00685AB6">
        <w:rPr>
          <w:rFonts w:cstheme="minorHAnsi"/>
        </w:rPr>
        <w:t xml:space="preserve"> </w:t>
      </w:r>
      <w:r w:rsidRPr="00A5679E">
        <w:rPr>
          <w:rFonts w:cstheme="minorHAnsi"/>
        </w:rPr>
        <w:t>cashflow</w:t>
      </w:r>
      <w:r w:rsidR="00685AB6">
        <w:rPr>
          <w:rFonts w:cstheme="minorHAnsi"/>
        </w:rPr>
        <w:t>,</w:t>
      </w:r>
      <w:r w:rsidRPr="00A5679E">
        <w:rPr>
          <w:rFonts w:cstheme="minorHAnsi"/>
        </w:rPr>
        <w:t xml:space="preserve"> maturity profile and/or covenant</w:t>
      </w:r>
      <w:r w:rsidR="007C2AE9">
        <w:rPr>
          <w:rFonts w:cstheme="minorHAnsi"/>
        </w:rPr>
        <w:t xml:space="preserve"> of an employer.</w:t>
      </w:r>
    </w:p>
    <w:p w14:paraId="3989A335" w14:textId="1669AACC" w:rsidR="00A5679E" w:rsidRPr="00A5679E" w:rsidRDefault="00A5679E" w:rsidP="00A5679E">
      <w:pPr>
        <w:numPr>
          <w:ilvl w:val="0"/>
          <w:numId w:val="48"/>
        </w:numPr>
        <w:spacing w:before="20" w:after="200" w:line="280" w:lineRule="atLeast"/>
        <w:rPr>
          <w:rFonts w:cstheme="minorHAnsi"/>
        </w:rPr>
      </w:pPr>
      <w:r w:rsidRPr="00A5679E">
        <w:rPr>
          <w:rFonts w:cstheme="minorHAnsi"/>
        </w:rPr>
        <w:t xml:space="preserve">if there has been a material change in the affordability of contributions and/or </w:t>
      </w:r>
      <w:r w:rsidR="007C2AE9">
        <w:rPr>
          <w:rFonts w:cstheme="minorHAnsi"/>
        </w:rPr>
        <w:t xml:space="preserve">an </w:t>
      </w:r>
      <w:r w:rsidRPr="00A5679E">
        <w:rPr>
          <w:rFonts w:cstheme="minorHAnsi"/>
        </w:rPr>
        <w:t>employer</w:t>
      </w:r>
      <w:r w:rsidR="007C2AE9">
        <w:rPr>
          <w:rFonts w:cstheme="minorHAnsi"/>
        </w:rPr>
        <w:t>’</w:t>
      </w:r>
      <w:r w:rsidRPr="00A5679E">
        <w:rPr>
          <w:rFonts w:cstheme="minorHAnsi"/>
        </w:rPr>
        <w:t>s financial covenant strength which has an impact on the FSS.</w:t>
      </w:r>
    </w:p>
    <w:p w14:paraId="70470B75"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 xml:space="preserve">recommendations from MHCLG/GAD. </w:t>
      </w:r>
    </w:p>
    <w:p w14:paraId="708F7FB0" w14:textId="5992D6F4" w:rsidR="00A5679E" w:rsidRPr="00A5679E" w:rsidRDefault="00A5679E" w:rsidP="00A5679E">
      <w:pPr>
        <w:spacing w:before="20" w:after="200" w:line="280" w:lineRule="atLeast"/>
        <w:rPr>
          <w:rFonts w:cstheme="minorHAnsi"/>
          <w:iCs/>
          <w:color w:val="4472C4" w:themeColor="accent5"/>
        </w:rPr>
      </w:pPr>
      <w:r w:rsidRPr="00A5679E">
        <w:rPr>
          <w:rFonts w:cstheme="minorHAnsi"/>
        </w:rPr>
        <w:t>In undertaking such reviews, the administering authority should consider:</w:t>
      </w:r>
    </w:p>
    <w:p w14:paraId="4C226A43" w14:textId="6ECA2268" w:rsidR="00A5679E" w:rsidRPr="00A5679E" w:rsidRDefault="00A5679E" w:rsidP="00A5679E">
      <w:pPr>
        <w:numPr>
          <w:ilvl w:val="0"/>
          <w:numId w:val="48"/>
        </w:numPr>
        <w:spacing w:before="20" w:after="200" w:line="280" w:lineRule="atLeast"/>
        <w:rPr>
          <w:rFonts w:cstheme="minorHAnsi"/>
        </w:rPr>
      </w:pPr>
      <w:r w:rsidRPr="00A5679E">
        <w:rPr>
          <w:rFonts w:cstheme="minorHAnsi"/>
        </w:rPr>
        <w:t>looking at experiences in relation to long-term funding assumptions (in terms of both investment income and forecast contributions income)</w:t>
      </w:r>
      <w:r w:rsidR="007C2AE9">
        <w:rPr>
          <w:rFonts w:cstheme="minorHAnsi"/>
        </w:rPr>
        <w:t>. This should include</w:t>
      </w:r>
      <w:r w:rsidRPr="00A5679E">
        <w:rPr>
          <w:rFonts w:cstheme="minorHAnsi"/>
        </w:rPr>
        <w:t xml:space="preserve"> consequences of actions taken by employers (e.g. pay awards and early retirements)</w:t>
      </w:r>
    </w:p>
    <w:p w14:paraId="5F5378C2"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lastRenderedPageBreak/>
        <w:t>the implications for the funding strategy and, if significant, determine what action should be taken to review the FSS</w:t>
      </w:r>
    </w:p>
    <w:p w14:paraId="204CA450"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the implications arising from the funding strategy for meeting the liabilities of individual employers and any amendments required to the ISS</w:t>
      </w:r>
    </w:p>
    <w:p w14:paraId="374851E0" w14:textId="6EFF0842" w:rsidR="00A5679E" w:rsidRPr="00A5679E" w:rsidRDefault="00A5679E" w:rsidP="00A5679E">
      <w:pPr>
        <w:numPr>
          <w:ilvl w:val="0"/>
          <w:numId w:val="48"/>
        </w:numPr>
        <w:spacing w:before="20" w:after="200" w:line="280" w:lineRule="atLeast"/>
        <w:rPr>
          <w:rFonts w:cstheme="minorHAnsi"/>
        </w:rPr>
      </w:pPr>
      <w:r w:rsidRPr="00A5679E">
        <w:rPr>
          <w:rFonts w:cstheme="minorHAnsi"/>
        </w:rPr>
        <w:t>consulting with individual employers specifically impacted by any changes</w:t>
      </w:r>
      <w:r w:rsidR="000F1352">
        <w:rPr>
          <w:rFonts w:cstheme="minorHAnsi"/>
        </w:rPr>
        <w:t>.</w:t>
      </w:r>
      <w:r w:rsidRPr="00A5679E">
        <w:rPr>
          <w:rFonts w:cstheme="minorHAnsi"/>
        </w:rPr>
        <w:t xml:space="preserve">  </w:t>
      </w:r>
      <w:r w:rsidR="00D35BC3">
        <w:rPr>
          <w:rFonts w:cstheme="minorHAnsi"/>
        </w:rPr>
        <w:t>A</w:t>
      </w:r>
      <w:r w:rsidRPr="00A5679E">
        <w:rPr>
          <w:rFonts w:cstheme="minorHAnsi"/>
        </w:rPr>
        <w:t xml:space="preserve">ny communication  </w:t>
      </w:r>
      <w:r w:rsidR="00D35BC3">
        <w:rPr>
          <w:rFonts w:cstheme="minorHAnsi"/>
        </w:rPr>
        <w:t xml:space="preserve">should be clear that </w:t>
      </w:r>
      <w:r w:rsidRPr="00A5679E">
        <w:rPr>
          <w:rFonts w:cstheme="minorHAnsi"/>
        </w:rPr>
        <w:t>a review won’t necessarily lead to rates changes for individual employers</w:t>
      </w:r>
      <w:r w:rsidR="000C3543">
        <w:rPr>
          <w:rFonts w:cstheme="minorHAnsi"/>
        </w:rPr>
        <w:t>.</w:t>
      </w:r>
      <w:r w:rsidRPr="00A5679E">
        <w:rPr>
          <w:rFonts w:cstheme="minorHAnsi"/>
        </w:rPr>
        <w:t xml:space="preserve"> </w:t>
      </w:r>
      <w:r w:rsidR="000C3543">
        <w:rPr>
          <w:rFonts w:cstheme="minorHAnsi"/>
        </w:rPr>
        <w:t>However, it</w:t>
      </w:r>
      <w:r w:rsidRPr="00A5679E">
        <w:rPr>
          <w:rFonts w:cstheme="minorHAnsi"/>
        </w:rPr>
        <w:t xml:space="preserve"> could impact admissions, terminations, approach to managing risk and employer risk assessment.</w:t>
      </w:r>
    </w:p>
    <w:p w14:paraId="6C79DCC8" w14:textId="77777777" w:rsidR="00A5679E" w:rsidRPr="00A5679E" w:rsidRDefault="00A5679E" w:rsidP="00A5679E">
      <w:pPr>
        <w:spacing w:before="20" w:after="200" w:line="280" w:lineRule="atLeast"/>
        <w:rPr>
          <w:rFonts w:cstheme="minorHAnsi"/>
        </w:rPr>
      </w:pPr>
      <w:r w:rsidRPr="00A5679E">
        <w:rPr>
          <w:rFonts w:cstheme="minorHAnsi"/>
        </w:rPr>
        <w:t xml:space="preserve">Any amendments will be consulted on, approved by </w:t>
      </w:r>
      <w:r w:rsidRPr="00385003">
        <w:rPr>
          <w:rFonts w:cstheme="minorHAnsi"/>
        </w:rPr>
        <w:t>the Pensions Committee and</w:t>
      </w:r>
      <w:r w:rsidRPr="00A5679E">
        <w:rPr>
          <w:rFonts w:cstheme="minorHAnsi"/>
        </w:rPr>
        <w:t xml:space="preserve"> included in the Committee meeting minutes. </w:t>
      </w:r>
    </w:p>
    <w:p w14:paraId="6D2FAC08" w14:textId="3BAA5D31" w:rsidR="00687CDA" w:rsidRPr="00095331" w:rsidRDefault="00A5679E" w:rsidP="00EC26F6">
      <w:pPr>
        <w:pStyle w:val="BodyTextGrey"/>
        <w:rPr>
          <w:rFonts w:cstheme="minorHAnsi"/>
        </w:rPr>
      </w:pPr>
      <w:r w:rsidRPr="00EC26F6">
        <w:rPr>
          <w:rFonts w:asciiTheme="minorHAnsi" w:eastAsiaTheme="minorHAnsi" w:hAnsiTheme="minorHAnsi" w:cstheme="minorHAnsi"/>
          <w:iCs w:val="0"/>
          <w:color w:val="auto"/>
          <w:sz w:val="22"/>
          <w:szCs w:val="22"/>
        </w:rPr>
        <w:t>This Funding Strategy Statement is effective from 1 April 2026</w:t>
      </w:r>
      <w:r w:rsidR="00E044E1">
        <w:rPr>
          <w:rFonts w:asciiTheme="minorHAnsi" w:eastAsiaTheme="minorHAnsi" w:hAnsiTheme="minorHAnsi" w:cstheme="minorHAnsi"/>
          <w:iCs w:val="0"/>
          <w:color w:val="auto"/>
          <w:sz w:val="22"/>
          <w:szCs w:val="22"/>
        </w:rPr>
        <w:t>.</w:t>
      </w:r>
      <w:r w:rsidRPr="00EC26F6">
        <w:rPr>
          <w:rFonts w:asciiTheme="minorHAnsi" w:eastAsiaTheme="minorHAnsi" w:hAnsiTheme="minorHAnsi" w:cstheme="minorHAnsi"/>
          <w:iCs w:val="0"/>
          <w:color w:val="auto"/>
          <w:sz w:val="22"/>
          <w:szCs w:val="22"/>
        </w:rPr>
        <w:t xml:space="preserve"> </w:t>
      </w:r>
      <w:r w:rsidR="00E044E1">
        <w:rPr>
          <w:rFonts w:asciiTheme="minorHAnsi" w:eastAsiaTheme="minorHAnsi" w:hAnsiTheme="minorHAnsi" w:cstheme="minorHAnsi"/>
          <w:iCs w:val="0"/>
          <w:color w:val="auto"/>
          <w:sz w:val="22"/>
          <w:szCs w:val="22"/>
        </w:rPr>
        <w:t>It</w:t>
      </w:r>
      <w:r w:rsidRPr="00EC26F6">
        <w:rPr>
          <w:rFonts w:asciiTheme="minorHAnsi" w:eastAsiaTheme="minorHAnsi" w:hAnsiTheme="minorHAnsi" w:cstheme="minorHAnsi"/>
          <w:iCs w:val="0"/>
          <w:color w:val="auto"/>
          <w:sz w:val="22"/>
          <w:szCs w:val="22"/>
        </w:rPr>
        <w:t xml:space="preserve"> is expected to remain in force until 31 March 2029 at the latest, unless an interim review is carried out </w:t>
      </w:r>
      <w:r w:rsidR="00E044E1">
        <w:rPr>
          <w:rFonts w:asciiTheme="minorHAnsi" w:eastAsiaTheme="minorHAnsi" w:hAnsiTheme="minorHAnsi" w:cstheme="minorHAnsi"/>
          <w:iCs w:val="0"/>
          <w:color w:val="auto"/>
          <w:sz w:val="22"/>
          <w:szCs w:val="22"/>
        </w:rPr>
        <w:t>before</w:t>
      </w:r>
      <w:r w:rsidRPr="00EC26F6">
        <w:rPr>
          <w:rFonts w:asciiTheme="minorHAnsi" w:eastAsiaTheme="minorHAnsi" w:hAnsiTheme="minorHAnsi" w:cstheme="minorHAnsi"/>
          <w:iCs w:val="0"/>
          <w:color w:val="auto"/>
          <w:sz w:val="22"/>
          <w:szCs w:val="22"/>
        </w:rPr>
        <w:t xml:space="preserve"> then.</w:t>
      </w:r>
    </w:p>
    <w:p w14:paraId="1A17DFC4" w14:textId="44F7B035" w:rsidR="00A5679E" w:rsidRPr="00EA783C" w:rsidRDefault="00A5679E" w:rsidP="00EA783C">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11" w:name="_Toc194482858"/>
      <w:r w:rsidRPr="00EA783C">
        <w:rPr>
          <w:rFonts w:eastAsiaTheme="majorEastAsia" w:cstheme="minorHAnsi"/>
          <w:b/>
          <w:color w:val="244D7A"/>
          <w:sz w:val="24"/>
          <w:szCs w:val="26"/>
        </w:rPr>
        <w:t>1.6 Links to Administration Strategy</w:t>
      </w:r>
      <w:bookmarkEnd w:id="11"/>
    </w:p>
    <w:p w14:paraId="20F02677" w14:textId="49A140DD" w:rsidR="00A5679E" w:rsidRPr="00EC26F6" w:rsidRDefault="00A5679E" w:rsidP="00095331">
      <w:pPr>
        <w:pStyle w:val="BodyTextGrey"/>
        <w:rPr>
          <w:rFonts w:cstheme="minorHAnsi"/>
          <w:color w:val="auto"/>
        </w:rPr>
      </w:pPr>
      <w:r w:rsidRPr="00EA783C">
        <w:rPr>
          <w:rFonts w:asciiTheme="minorHAnsi" w:eastAsiaTheme="minorHAnsi" w:hAnsiTheme="minorHAnsi" w:cstheme="minorHAnsi"/>
          <w:iCs w:val="0"/>
          <w:color w:val="auto"/>
          <w:sz w:val="22"/>
          <w:szCs w:val="22"/>
        </w:rPr>
        <w:t xml:space="preserve">The fund maintains an Administration Strategy Statement which outlines the responsibilities, standards and procedures for employers and the fund. A copy of this can be </w:t>
      </w:r>
      <w:hyperlink r:id="rId16" w:history="1">
        <w:r w:rsidRPr="00FC2DE0">
          <w:rPr>
            <w:rStyle w:val="Hyperlink"/>
            <w:rFonts w:eastAsiaTheme="minorHAnsi"/>
          </w:rPr>
          <w:t>found here</w:t>
        </w:r>
      </w:hyperlink>
      <w:r w:rsidRPr="005A3E97">
        <w:rPr>
          <w:rFonts w:asciiTheme="minorHAnsi" w:eastAsiaTheme="minorHAnsi" w:hAnsiTheme="minorHAnsi" w:cstheme="minorHAnsi"/>
          <w:iCs w:val="0"/>
          <w:color w:val="auto"/>
          <w:sz w:val="22"/>
          <w:szCs w:val="22"/>
        </w:rPr>
        <w:t>.</w:t>
      </w:r>
    </w:p>
    <w:p w14:paraId="380068EA" w14:textId="48E9E59D" w:rsidR="00A5679E" w:rsidRPr="00EC26F6" w:rsidRDefault="00E044E1" w:rsidP="00A5679E">
      <w:pPr>
        <w:spacing w:before="20" w:after="200" w:line="280" w:lineRule="atLeast"/>
        <w:rPr>
          <w:rFonts w:cstheme="minorHAnsi"/>
        </w:rPr>
      </w:pPr>
      <w:r>
        <w:rPr>
          <w:rFonts w:cstheme="minorHAnsi"/>
        </w:rPr>
        <w:t>Compliance</w:t>
      </w:r>
      <w:r w:rsidR="00A5679E" w:rsidRPr="00EC26F6">
        <w:rPr>
          <w:rFonts w:cstheme="minorHAnsi"/>
        </w:rPr>
        <w:t xml:space="preserve"> with the requirements of the Administration Strategy Statement is </w:t>
      </w:r>
      <w:r w:rsidR="0047404C">
        <w:rPr>
          <w:rFonts w:cstheme="minorHAnsi"/>
        </w:rPr>
        <w:t>a legal requirement</w:t>
      </w:r>
      <w:r w:rsidR="00AE01C3">
        <w:rPr>
          <w:rFonts w:cstheme="minorHAnsi"/>
        </w:rPr>
        <w:t xml:space="preserve"> and </w:t>
      </w:r>
      <w:r w:rsidR="00A5679E" w:rsidRPr="00EC26F6">
        <w:rPr>
          <w:rFonts w:cstheme="minorHAnsi"/>
        </w:rPr>
        <w:t>crucial to ensur</w:t>
      </w:r>
      <w:r w:rsidR="00DB5852">
        <w:rPr>
          <w:rFonts w:cstheme="minorHAnsi"/>
        </w:rPr>
        <w:t>ing</w:t>
      </w:r>
      <w:r w:rsidR="00A5679E" w:rsidRPr="00EC26F6">
        <w:rPr>
          <w:rFonts w:cstheme="minorHAnsi"/>
        </w:rPr>
        <w:t xml:space="preserve"> the </w:t>
      </w:r>
      <w:r w:rsidR="004C6D95">
        <w:rPr>
          <w:rFonts w:cstheme="minorHAnsi"/>
        </w:rPr>
        <w:t>successful administration</w:t>
      </w:r>
      <w:r w:rsidR="00A5679E" w:rsidRPr="00EC26F6">
        <w:rPr>
          <w:rFonts w:cstheme="minorHAnsi"/>
        </w:rPr>
        <w:t xml:space="preserve"> of the pension fund</w:t>
      </w:r>
      <w:r w:rsidR="004C6D95">
        <w:rPr>
          <w:rFonts w:cstheme="minorHAnsi"/>
        </w:rPr>
        <w:t>.</w:t>
      </w:r>
      <w:r w:rsidR="00A5679E" w:rsidRPr="00EC26F6">
        <w:rPr>
          <w:rFonts w:cstheme="minorHAnsi"/>
        </w:rPr>
        <w:t xml:space="preserve">  </w:t>
      </w:r>
      <w:r w:rsidR="004C6D95">
        <w:rPr>
          <w:rFonts w:cstheme="minorHAnsi"/>
        </w:rPr>
        <w:t>A</w:t>
      </w:r>
      <w:r w:rsidR="00A5679E" w:rsidRPr="00EC26F6">
        <w:rPr>
          <w:rFonts w:cstheme="minorHAnsi"/>
        </w:rPr>
        <w:t xml:space="preserve">ny failure to do so may lead to uncertainty around the value of an employer’s liabilities and the need for prudent assumptions to fill any data gaps. </w:t>
      </w:r>
    </w:p>
    <w:p w14:paraId="02C5B001" w14:textId="77777777" w:rsidR="00A5679E" w:rsidRPr="00A5679E" w:rsidRDefault="00A5679E" w:rsidP="00A5679E">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12" w:name="_Toc194482859"/>
      <w:r w:rsidRPr="00A5679E">
        <w:rPr>
          <w:rFonts w:eastAsiaTheme="majorEastAsia" w:cstheme="minorHAnsi"/>
          <w:b/>
          <w:color w:val="244D7A"/>
          <w:sz w:val="24"/>
          <w:szCs w:val="26"/>
        </w:rPr>
        <w:t>1.7 Actuarial valuation report</w:t>
      </w:r>
      <w:bookmarkEnd w:id="12"/>
    </w:p>
    <w:p w14:paraId="2333DC98" w14:textId="2C41F5C7" w:rsidR="00BA4BA1" w:rsidRDefault="00A5679E" w:rsidP="00A5679E">
      <w:pPr>
        <w:spacing w:before="20" w:after="200" w:line="280" w:lineRule="atLeast"/>
        <w:rPr>
          <w:rFonts w:cstheme="minorHAnsi"/>
        </w:rPr>
      </w:pPr>
      <w:hyperlink r:id="rId17" w:anchor="r62" w:history="1">
        <w:r w:rsidRPr="00EC26F6">
          <w:rPr>
            <w:rFonts w:cstheme="minorHAnsi"/>
          </w:rPr>
          <w:t>LGPS Regulations</w:t>
        </w:r>
      </w:hyperlink>
      <w:r w:rsidRPr="00A5679E">
        <w:rPr>
          <w:rFonts w:cstheme="minorHAnsi"/>
        </w:rPr>
        <w:t xml:space="preserve"> require an actuarial valuation to be carried out every three years</w:t>
      </w:r>
      <w:r w:rsidR="00435AC2">
        <w:rPr>
          <w:rFonts w:cstheme="minorHAnsi"/>
        </w:rPr>
        <w:t>.</w:t>
      </w:r>
      <w:r w:rsidRPr="00A5679E">
        <w:rPr>
          <w:rFonts w:cstheme="minorHAnsi"/>
        </w:rPr>
        <w:t xml:space="preserve"> </w:t>
      </w:r>
      <w:r w:rsidR="00435AC2">
        <w:rPr>
          <w:rFonts w:cstheme="minorHAnsi"/>
        </w:rPr>
        <w:t xml:space="preserve">A key outcome from the valuation is </w:t>
      </w:r>
      <w:r w:rsidR="00B66D65">
        <w:rPr>
          <w:rFonts w:cstheme="minorHAnsi"/>
        </w:rPr>
        <w:t>that</w:t>
      </w:r>
      <w:r w:rsidR="00435AC2">
        <w:rPr>
          <w:rFonts w:cstheme="minorHAnsi"/>
        </w:rPr>
        <w:t xml:space="preserve"> </w:t>
      </w:r>
      <w:r w:rsidRPr="00A5679E">
        <w:rPr>
          <w:rFonts w:cstheme="minorHAnsi"/>
        </w:rPr>
        <w:t xml:space="preserve">contribution rates for all participating employers are set for the following three years. This Funding Strategy Statement sets out the assumptions and methodology underpinning the 2025 actuarial valuation actuarial exercise. </w:t>
      </w:r>
      <w:r w:rsidR="000B5F14">
        <w:rPr>
          <w:rFonts w:cstheme="minorHAnsi"/>
        </w:rPr>
        <w:br/>
      </w:r>
      <w:r w:rsidR="000B5F14">
        <w:rPr>
          <w:rFonts w:cstheme="minorHAnsi"/>
        </w:rPr>
        <w:br/>
      </w:r>
      <w:r w:rsidRPr="00A5679E">
        <w:rPr>
          <w:rFonts w:cstheme="minorHAnsi"/>
        </w:rPr>
        <w:t>The actuarial valuation report sets out</w:t>
      </w:r>
      <w:r w:rsidR="000B5F14">
        <w:rPr>
          <w:rFonts w:cstheme="minorHAnsi"/>
        </w:rPr>
        <w:t>:</w:t>
      </w:r>
      <w:r w:rsidRPr="00A5679E">
        <w:rPr>
          <w:rFonts w:cstheme="minorHAnsi"/>
        </w:rPr>
        <w:t xml:space="preserve"> </w:t>
      </w:r>
    </w:p>
    <w:p w14:paraId="34776F46" w14:textId="7E536560" w:rsidR="00BA4BA1" w:rsidRPr="00BA4BA1" w:rsidRDefault="00A5679E" w:rsidP="00EC26F6">
      <w:pPr>
        <w:pStyle w:val="ListParagraph"/>
        <w:numPr>
          <w:ilvl w:val="0"/>
          <w:numId w:val="91"/>
        </w:numPr>
        <w:spacing w:before="20" w:after="200" w:line="280" w:lineRule="atLeast"/>
        <w:rPr>
          <w:rFonts w:cstheme="minorHAnsi"/>
        </w:rPr>
      </w:pPr>
      <w:r w:rsidRPr="00BA4BA1">
        <w:rPr>
          <w:rFonts w:cstheme="minorHAnsi"/>
        </w:rPr>
        <w:t xml:space="preserve">the actuary’s assessment of the past service funding position, </w:t>
      </w:r>
    </w:p>
    <w:p w14:paraId="7B01252E" w14:textId="27F608D5" w:rsidR="00BA4BA1" w:rsidRPr="00BA4BA1" w:rsidRDefault="00A5679E" w:rsidP="00EC26F6">
      <w:pPr>
        <w:pStyle w:val="ListParagraph"/>
        <w:numPr>
          <w:ilvl w:val="0"/>
          <w:numId w:val="91"/>
        </w:numPr>
        <w:spacing w:before="20" w:after="200" w:line="280" w:lineRule="atLeast"/>
        <w:rPr>
          <w:rFonts w:cstheme="minorHAnsi"/>
        </w:rPr>
      </w:pPr>
      <w:r w:rsidRPr="00BA4BA1">
        <w:rPr>
          <w:rFonts w:cstheme="minorHAnsi"/>
        </w:rPr>
        <w:t xml:space="preserve">the contributions required to ensure full funding by the end of the time horizon.  </w:t>
      </w:r>
    </w:p>
    <w:p w14:paraId="25636BD5" w14:textId="42411AD1" w:rsidR="005F4AA5" w:rsidRDefault="00A5679E" w:rsidP="005F4AA5">
      <w:r w:rsidRPr="00A5679E">
        <w:rPr>
          <w:rFonts w:cstheme="minorHAnsi"/>
        </w:rPr>
        <w:t>The Rates and Adjustments certificate shows the contribution rates payable by each employer (which may be expressed as a percentage of payroll and/or monetary amounts).</w:t>
      </w:r>
    </w:p>
    <w:p w14:paraId="568BB523" w14:textId="5699CEA0" w:rsidR="005F4AA5" w:rsidRDefault="005F4AA5" w:rsidP="005F4AA5">
      <w:pPr>
        <w:pStyle w:val="Heading1"/>
      </w:pPr>
      <w:bookmarkStart w:id="13" w:name="_Toc194482860"/>
      <w:r>
        <w:t xml:space="preserve">2. How </w:t>
      </w:r>
      <w:r w:rsidR="00AC34C1">
        <w:t>does</w:t>
      </w:r>
      <w:r>
        <w:t xml:space="preserve"> the </w:t>
      </w:r>
      <w:r w:rsidR="00AE3F19">
        <w:t>Fund</w:t>
      </w:r>
      <w:r>
        <w:t xml:space="preserve"> calculate employer contributions?</w:t>
      </w:r>
      <w:bookmarkEnd w:id="13"/>
    </w:p>
    <w:p w14:paraId="081B3C1E" w14:textId="51C2C486" w:rsidR="005F4AA5" w:rsidRPr="005F4AA5" w:rsidRDefault="005F4AA5" w:rsidP="005F4AA5">
      <w:pPr>
        <w:pStyle w:val="Heading2"/>
      </w:pPr>
      <w:bookmarkStart w:id="14" w:name="_Toc194482861"/>
      <w:r>
        <w:t>2.1 Calculating contribution rates</w:t>
      </w:r>
      <w:bookmarkEnd w:id="14"/>
    </w:p>
    <w:p w14:paraId="12B329A5" w14:textId="77777777" w:rsidR="005F4AA5" w:rsidRPr="005F4AA5" w:rsidRDefault="005F4AA5" w:rsidP="005F4AA5">
      <w:pPr>
        <w:rPr>
          <w:iCs/>
        </w:rPr>
      </w:pPr>
      <w:r w:rsidRPr="005F4AA5">
        <w:rPr>
          <w:iCs/>
        </w:rPr>
        <w:t>Employee contribution rates are set by the LGPS regulations.</w:t>
      </w:r>
    </w:p>
    <w:p w14:paraId="7E516465" w14:textId="791C4C52" w:rsidR="005F4AA5" w:rsidRPr="005F4AA5" w:rsidRDefault="005F4AA5" w:rsidP="005F4AA5">
      <w:pPr>
        <w:rPr>
          <w:iCs/>
        </w:rPr>
      </w:pPr>
      <w:r w:rsidRPr="005F4AA5">
        <w:rPr>
          <w:iCs/>
        </w:rPr>
        <w:t>Employer total contribution</w:t>
      </w:r>
      <w:r w:rsidR="00067931">
        <w:rPr>
          <w:iCs/>
        </w:rPr>
        <w:t xml:space="preserve"> rates</w:t>
      </w:r>
      <w:r w:rsidRPr="005F4AA5">
        <w:rPr>
          <w:iCs/>
        </w:rPr>
        <w:t xml:space="preserve"> </w:t>
      </w:r>
      <w:r w:rsidRPr="00967C28">
        <w:rPr>
          <w:iCs/>
        </w:rPr>
        <w:t xml:space="preserve">are </w:t>
      </w:r>
      <w:r w:rsidR="00EC2CBF" w:rsidRPr="00095331">
        <w:rPr>
          <w:iCs/>
        </w:rPr>
        <w:t>determined by a mandatory actuarial valuation exercise</w:t>
      </w:r>
      <w:r w:rsidRPr="00967C28">
        <w:rPr>
          <w:iCs/>
        </w:rPr>
        <w:t xml:space="preserve"> and are </w:t>
      </w:r>
      <w:r w:rsidR="007A2E37" w:rsidRPr="00967C28">
        <w:rPr>
          <w:rFonts w:cstheme="minorHAnsi"/>
          <w:iCs/>
        </w:rPr>
        <w:t xml:space="preserve">made up of the following </w:t>
      </w:r>
      <w:r w:rsidRPr="00967C28">
        <w:rPr>
          <w:iCs/>
        </w:rPr>
        <w:t>two elements</w:t>
      </w:r>
      <w:r w:rsidRPr="005F4AA5">
        <w:rPr>
          <w:iCs/>
        </w:rPr>
        <w:t>:</w:t>
      </w:r>
    </w:p>
    <w:p w14:paraId="13858582" w14:textId="77777777" w:rsidR="005F4AA5" w:rsidRPr="005F4AA5" w:rsidRDefault="005F4AA5" w:rsidP="005F4AA5">
      <w:pPr>
        <w:numPr>
          <w:ilvl w:val="0"/>
          <w:numId w:val="24"/>
        </w:numPr>
        <w:rPr>
          <w:iCs/>
        </w:rPr>
      </w:pPr>
      <w:r w:rsidRPr="005F4AA5">
        <w:rPr>
          <w:b/>
          <w:bCs/>
          <w:iCs/>
        </w:rPr>
        <w:t>the primary contribution rate</w:t>
      </w:r>
      <w:r w:rsidRPr="005F4AA5">
        <w:rPr>
          <w:iCs/>
        </w:rPr>
        <w:t xml:space="preserve"> – contributions payable towards future benefits </w:t>
      </w:r>
    </w:p>
    <w:p w14:paraId="045F87CC" w14:textId="2184F2A2" w:rsidR="005F4AA5" w:rsidRPr="005F4AA5" w:rsidRDefault="005F4AA5" w:rsidP="005F4AA5">
      <w:pPr>
        <w:numPr>
          <w:ilvl w:val="0"/>
          <w:numId w:val="24"/>
        </w:numPr>
        <w:rPr>
          <w:iCs/>
        </w:rPr>
      </w:pPr>
      <w:r w:rsidRPr="005F4AA5">
        <w:rPr>
          <w:b/>
          <w:bCs/>
          <w:iCs/>
        </w:rPr>
        <w:t>the secondary contribution rate</w:t>
      </w:r>
      <w:r w:rsidRPr="005F4AA5">
        <w:rPr>
          <w:iCs/>
        </w:rPr>
        <w:t xml:space="preserve"> – any adjustment to the primary contribution rate</w:t>
      </w:r>
      <w:r w:rsidR="009617CC">
        <w:rPr>
          <w:iCs/>
        </w:rPr>
        <w:t xml:space="preserve">, which may be negative, </w:t>
      </w:r>
      <w:r w:rsidRPr="005F4AA5">
        <w:rPr>
          <w:iCs/>
        </w:rPr>
        <w:t xml:space="preserve">such as </w:t>
      </w:r>
      <w:r w:rsidR="009617CC">
        <w:rPr>
          <w:iCs/>
        </w:rPr>
        <w:t>may be required to ensure full funding in the future.</w:t>
      </w:r>
      <w:r w:rsidR="009617CC" w:rsidRPr="005F4AA5" w:rsidDel="009617CC">
        <w:rPr>
          <w:iCs/>
        </w:rPr>
        <w:t xml:space="preserve"> </w:t>
      </w:r>
    </w:p>
    <w:p w14:paraId="5FE96018" w14:textId="07639F86" w:rsidR="005F4AA5" w:rsidRPr="005F4AA5" w:rsidDel="00154536" w:rsidRDefault="005F4AA5" w:rsidP="005F4AA5">
      <w:pPr>
        <w:rPr>
          <w:iCs/>
        </w:rPr>
      </w:pPr>
      <w:r w:rsidRPr="005F4AA5">
        <w:rPr>
          <w:iCs/>
        </w:rPr>
        <w:t xml:space="preserve">The primary rate also includes an allowance for the </w:t>
      </w:r>
      <w:r w:rsidR="00AE3F19">
        <w:rPr>
          <w:iCs/>
        </w:rPr>
        <w:t>Fund</w:t>
      </w:r>
      <w:r w:rsidRPr="005F4AA5">
        <w:rPr>
          <w:iCs/>
        </w:rPr>
        <w:t xml:space="preserve">’s expenses. </w:t>
      </w:r>
    </w:p>
    <w:p w14:paraId="17186165" w14:textId="3BC26035" w:rsidR="005F4AA5" w:rsidRPr="005F4AA5" w:rsidRDefault="005F4AA5" w:rsidP="005F4AA5">
      <w:pPr>
        <w:rPr>
          <w:iCs/>
          <w:u w:val="single"/>
        </w:rPr>
      </w:pPr>
      <w:r w:rsidRPr="005F4AA5">
        <w:rPr>
          <w:iCs/>
        </w:rPr>
        <w:lastRenderedPageBreak/>
        <w:t xml:space="preserve">The </w:t>
      </w:r>
      <w:r w:rsidR="00AE3F19">
        <w:rPr>
          <w:iCs/>
        </w:rPr>
        <w:t>Fund</w:t>
      </w:r>
      <w:r w:rsidRPr="005F4AA5">
        <w:rPr>
          <w:iCs/>
        </w:rPr>
        <w:t xml:space="preserve"> actuary uses a model to project each employer’s asset share over a range of future economic scenarios (as detailed in</w:t>
      </w:r>
      <w:r w:rsidR="008E448F">
        <w:rPr>
          <w:iCs/>
        </w:rPr>
        <w:t xml:space="preserve"> </w:t>
      </w:r>
      <w:r w:rsidR="008E448F" w:rsidRPr="005A3E97">
        <w:rPr>
          <w:iCs/>
        </w:rPr>
        <w:t>Appendix</w:t>
      </w:r>
      <w:r w:rsidRPr="005A3E97">
        <w:rPr>
          <w:iCs/>
        </w:rPr>
        <w:t xml:space="preserve"> </w:t>
      </w:r>
      <w:hyperlink w:anchor="_Appendix_D_–" w:history="1">
        <w:r w:rsidR="009C5B93" w:rsidRPr="00483629">
          <w:rPr>
            <w:rStyle w:val="Hyperlink"/>
            <w:iCs/>
          </w:rPr>
          <w:t>E</w:t>
        </w:r>
      </w:hyperlink>
      <w:r w:rsidRPr="005F4AA5">
        <w:rPr>
          <w:iCs/>
        </w:rPr>
        <w:t xml:space="preserve">). The contribution rate takes each employer’s assets into account as well as the projected benefits due to their members. The value of the projected benefits is worked out using employer membership data and the assumptions in </w:t>
      </w:r>
      <w:r w:rsidR="007D3FED" w:rsidRPr="00483629">
        <w:rPr>
          <w:rStyle w:val="Hyperlink"/>
        </w:rPr>
        <w:t xml:space="preserve">Appendix </w:t>
      </w:r>
      <w:hyperlink w:anchor="_Appendix_D_–" w:history="1">
        <w:r w:rsidR="009C5B93" w:rsidRPr="00483629">
          <w:rPr>
            <w:rStyle w:val="Hyperlink"/>
            <w:iCs/>
          </w:rPr>
          <w:t>E</w:t>
        </w:r>
      </w:hyperlink>
      <w:r w:rsidRPr="005F4AA5">
        <w:rPr>
          <w:iCs/>
        </w:rPr>
        <w:t>.</w:t>
      </w:r>
    </w:p>
    <w:p w14:paraId="1D5D3004" w14:textId="71A4A760" w:rsidR="005F4AA5" w:rsidRPr="005F4AA5" w:rsidRDefault="005F4AA5" w:rsidP="005F4AA5">
      <w:pPr>
        <w:rPr>
          <w:iCs/>
        </w:rPr>
      </w:pPr>
      <w:r w:rsidRPr="005F4AA5">
        <w:rPr>
          <w:iCs/>
        </w:rPr>
        <w:t>The total contribution rate for each employer is then based on:</w:t>
      </w:r>
      <w:r w:rsidR="00275C3A">
        <w:rPr>
          <w:iCs/>
        </w:rPr>
        <w:t xml:space="preserve"> </w:t>
      </w:r>
    </w:p>
    <w:p w14:paraId="1B07D881" w14:textId="39D06AC2" w:rsidR="005F4AA5" w:rsidRPr="005F4AA5" w:rsidRDefault="005F4AA5" w:rsidP="005F4AA5">
      <w:pPr>
        <w:numPr>
          <w:ilvl w:val="0"/>
          <w:numId w:val="23"/>
        </w:numPr>
        <w:rPr>
          <w:iCs/>
        </w:rPr>
      </w:pPr>
      <w:bookmarkStart w:id="15" w:name="_Hlk205462040"/>
      <w:r w:rsidRPr="005F4AA5">
        <w:rPr>
          <w:b/>
          <w:bCs/>
          <w:iCs/>
        </w:rPr>
        <w:t>the target</w:t>
      </w:r>
      <w:r w:rsidRPr="005F4AA5">
        <w:rPr>
          <w:iCs/>
        </w:rPr>
        <w:t xml:space="preserve"> </w:t>
      </w:r>
      <w:r w:rsidR="00D21B35" w:rsidRPr="005A3E97">
        <w:rPr>
          <w:b/>
          <w:bCs/>
          <w:iCs/>
        </w:rPr>
        <w:t>funding level</w:t>
      </w:r>
      <w:r w:rsidR="00D21B35">
        <w:rPr>
          <w:iCs/>
        </w:rPr>
        <w:t xml:space="preserve"> </w:t>
      </w:r>
      <w:r w:rsidRPr="005F4AA5">
        <w:rPr>
          <w:iCs/>
        </w:rPr>
        <w:t xml:space="preserve">– how much money the </w:t>
      </w:r>
      <w:r w:rsidR="00AE3F19">
        <w:rPr>
          <w:iCs/>
        </w:rPr>
        <w:t>Fund</w:t>
      </w:r>
      <w:r w:rsidRPr="005F4AA5">
        <w:rPr>
          <w:iCs/>
        </w:rPr>
        <w:t xml:space="preserve"> aims to hold for each employer</w:t>
      </w:r>
    </w:p>
    <w:p w14:paraId="1709988B" w14:textId="6A91FD39" w:rsidR="005F4AA5" w:rsidRDefault="005F4AA5" w:rsidP="005F4AA5">
      <w:pPr>
        <w:numPr>
          <w:ilvl w:val="0"/>
          <w:numId w:val="23"/>
        </w:numPr>
        <w:rPr>
          <w:iCs/>
        </w:rPr>
      </w:pPr>
      <w:r w:rsidRPr="005F4AA5">
        <w:rPr>
          <w:b/>
          <w:bCs/>
          <w:iCs/>
        </w:rPr>
        <w:t>the time horizon</w:t>
      </w:r>
      <w:r w:rsidRPr="005F4AA5">
        <w:rPr>
          <w:iCs/>
        </w:rPr>
        <w:t xml:space="preserve"> – the time over which the employer aims to achieve the </w:t>
      </w:r>
      <w:r w:rsidR="00AE3F19">
        <w:rPr>
          <w:iCs/>
        </w:rPr>
        <w:t>Fund</w:t>
      </w:r>
      <w:r w:rsidRPr="005F4AA5">
        <w:rPr>
          <w:iCs/>
        </w:rPr>
        <w:t xml:space="preserve">ing target </w:t>
      </w:r>
    </w:p>
    <w:p w14:paraId="6645B518" w14:textId="631C8D01" w:rsidR="0097413C" w:rsidRPr="00634895" w:rsidRDefault="00D21B35" w:rsidP="0097413C">
      <w:pPr>
        <w:numPr>
          <w:ilvl w:val="0"/>
          <w:numId w:val="23"/>
        </w:numPr>
        <w:rPr>
          <w:rFonts w:cstheme="minorHAnsi"/>
          <w:iCs/>
        </w:rPr>
      </w:pPr>
      <w:r>
        <w:rPr>
          <w:rFonts w:cstheme="minorHAnsi"/>
          <w:b/>
          <w:bCs/>
          <w:iCs/>
        </w:rPr>
        <w:t xml:space="preserve">the </w:t>
      </w:r>
      <w:r w:rsidR="0097413C" w:rsidRPr="0079664E">
        <w:rPr>
          <w:rFonts w:cstheme="minorHAnsi"/>
          <w:b/>
          <w:bCs/>
          <w:iCs/>
        </w:rPr>
        <w:t>funding basis</w:t>
      </w:r>
      <w:r w:rsidR="0097413C" w:rsidRPr="00061924">
        <w:rPr>
          <w:rFonts w:cstheme="minorHAnsi"/>
          <w:iCs/>
        </w:rPr>
        <w:t xml:space="preserve"> – the set of actuarial assumptions used to value the employer’s (past and future service) liabilities</w:t>
      </w:r>
    </w:p>
    <w:p w14:paraId="662DD181" w14:textId="5A9FD20F" w:rsidR="005F4AA5" w:rsidRPr="005F4AA5" w:rsidRDefault="005F4AA5" w:rsidP="005F4AA5">
      <w:pPr>
        <w:numPr>
          <w:ilvl w:val="0"/>
          <w:numId w:val="23"/>
        </w:numPr>
        <w:rPr>
          <w:iCs/>
        </w:rPr>
      </w:pPr>
      <w:r w:rsidRPr="005F4AA5">
        <w:rPr>
          <w:b/>
          <w:bCs/>
          <w:iCs/>
        </w:rPr>
        <w:t>the likelihood of success</w:t>
      </w:r>
      <w:r w:rsidRPr="005F4AA5">
        <w:rPr>
          <w:iCs/>
        </w:rPr>
        <w:t xml:space="preserve"> – the proportion of modelled scenarios where the </w:t>
      </w:r>
      <w:r w:rsidR="00AE3F19">
        <w:rPr>
          <w:iCs/>
        </w:rPr>
        <w:t>Fund</w:t>
      </w:r>
      <w:r w:rsidRPr="005F4AA5">
        <w:rPr>
          <w:iCs/>
        </w:rPr>
        <w:t xml:space="preserve">ing target is met. </w:t>
      </w:r>
    </w:p>
    <w:bookmarkEnd w:id="15"/>
    <w:p w14:paraId="548EF67D" w14:textId="77777777" w:rsidR="00BF2A9C" w:rsidRPr="00FA76A3" w:rsidRDefault="00BF2A9C" w:rsidP="00095331">
      <w:r w:rsidRPr="00FA76A3">
        <w:rPr>
          <w:iCs/>
        </w:rPr>
        <w:t>For example, an employer’s funding strategy criteria may be set as follows:</w:t>
      </w:r>
    </w:p>
    <w:p w14:paraId="0B93022A" w14:textId="797E9EAB" w:rsidR="00BF2A9C" w:rsidRPr="005A3E97" w:rsidRDefault="00BF2A9C" w:rsidP="00EC26F6">
      <w:pPr>
        <w:rPr>
          <w:i/>
        </w:rPr>
      </w:pPr>
      <w:r w:rsidRPr="005A3E97">
        <w:rPr>
          <w:i/>
        </w:rPr>
        <w:t xml:space="preserve">The employer must have at least a </w:t>
      </w:r>
      <w:r w:rsidR="006D08F9">
        <w:rPr>
          <w:i/>
        </w:rPr>
        <w:t>7</w:t>
      </w:r>
      <w:r w:rsidR="00B95608" w:rsidRPr="005A3E97">
        <w:rPr>
          <w:i/>
        </w:rPr>
        <w:t>0</w:t>
      </w:r>
      <w:r w:rsidRPr="005A3E97">
        <w:rPr>
          <w:i/>
        </w:rPr>
        <w:t xml:space="preserve">% likelihood of being 100% funded on the ongoing participation basis at the end of a </w:t>
      </w:r>
      <w:r w:rsidR="00B66D65" w:rsidRPr="005A3E97">
        <w:rPr>
          <w:i/>
        </w:rPr>
        <w:t>20-year</w:t>
      </w:r>
      <w:r w:rsidRPr="005A3E97">
        <w:rPr>
          <w:i/>
        </w:rPr>
        <w:t xml:space="preserve"> funding time horizon.</w:t>
      </w:r>
    </w:p>
    <w:p w14:paraId="21C6B630" w14:textId="77777777" w:rsidR="00BF2A9C" w:rsidRDefault="00BF2A9C" w:rsidP="00EC26F6">
      <w:pPr>
        <w:rPr>
          <w:iCs/>
        </w:rPr>
      </w:pPr>
      <w:r w:rsidRPr="00EE1DE5">
        <w:rPr>
          <w:iCs/>
        </w:rPr>
        <w:t>The funding strategy criteria used by the fund are set out in Table 2. Further detail on the ESS and on the funding bases used by the fund are set out in Appendix E.</w:t>
      </w:r>
    </w:p>
    <w:p w14:paraId="11DC999F" w14:textId="77777777" w:rsidR="00A376F0" w:rsidRDefault="00A376F0" w:rsidP="00A376F0">
      <w:bookmarkStart w:id="16" w:name="_Hlk205462116"/>
      <w:r>
        <w:rPr>
          <w:iCs/>
        </w:rPr>
        <w:t>The target funding level may be set greater than 100% as a buffer against future adverse experience.  This may be appropriate for long term open employers, where adverse future funding experience may lead to future contribution rises.</w:t>
      </w:r>
    </w:p>
    <w:bookmarkEnd w:id="16"/>
    <w:p w14:paraId="06CB26DF" w14:textId="0999FBFD" w:rsidR="00E81C12" w:rsidRDefault="005F4AA5" w:rsidP="005F4AA5">
      <w:pPr>
        <w:rPr>
          <w:iCs/>
        </w:rPr>
      </w:pPr>
      <w:r w:rsidRPr="005F4AA5">
        <w:rPr>
          <w:iCs/>
        </w:rPr>
        <w:t xml:space="preserve">This approach </w:t>
      </w:r>
      <w:r w:rsidR="00B66D65" w:rsidRPr="005F4AA5">
        <w:rPr>
          <w:iCs/>
        </w:rPr>
        <w:t>considers</w:t>
      </w:r>
      <w:r w:rsidRPr="005F4AA5">
        <w:rPr>
          <w:iCs/>
        </w:rPr>
        <w:t xml:space="preserve"> the maturing profile of the membership when setting employer contribution rates.</w:t>
      </w:r>
    </w:p>
    <w:p w14:paraId="740E88A7" w14:textId="77777777" w:rsidR="00B20394" w:rsidRDefault="007D4861">
      <w:r w:rsidRPr="007D4861">
        <w:t>The approach taken by the fund actuary helps the fund meet the aim of maintaining as stable a primary employer contribution rate as possible.</w:t>
      </w:r>
    </w:p>
    <w:p w14:paraId="6F00E422" w14:textId="63243C55" w:rsidR="00F87598" w:rsidRDefault="00F87598">
      <w:r>
        <w:t>Pre-payment of contributions</w:t>
      </w:r>
    </w:p>
    <w:p w14:paraId="52749EE1" w14:textId="2CF93FA4" w:rsidR="006D08F9" w:rsidRPr="006D08F9" w:rsidRDefault="00B20394" w:rsidP="006D08F9">
      <w:pPr>
        <w:pStyle w:val="BodyTextGrey"/>
        <w:rPr>
          <w:iCs w:val="0"/>
        </w:rPr>
      </w:pPr>
      <w:r w:rsidRPr="00EC26F6">
        <w:rPr>
          <w:rFonts w:asciiTheme="minorHAnsi" w:eastAsiaTheme="minorHAnsi" w:hAnsiTheme="minorHAnsi" w:cstheme="minorBidi"/>
          <w:iCs w:val="0"/>
          <w:color w:val="auto"/>
          <w:sz w:val="22"/>
          <w:szCs w:val="22"/>
        </w:rPr>
        <w:t>The fund permits the prepayment of employer</w:t>
      </w:r>
      <w:r w:rsidRPr="006D08F9">
        <w:rPr>
          <w:rFonts w:asciiTheme="minorHAnsi" w:eastAsiaTheme="minorHAnsi" w:hAnsiTheme="minorHAnsi" w:cstheme="minorBidi"/>
          <w:iCs w:val="0"/>
          <w:color w:val="auto"/>
          <w:sz w:val="22"/>
          <w:szCs w:val="22"/>
        </w:rPr>
        <w:t xml:space="preserve"> contributions in specific circumstances.</w:t>
      </w:r>
      <w:r w:rsidR="00064465" w:rsidRPr="006D08F9">
        <w:rPr>
          <w:rFonts w:asciiTheme="minorHAnsi" w:eastAsiaTheme="minorHAnsi" w:hAnsiTheme="minorHAnsi" w:cstheme="minorBidi"/>
          <w:iCs w:val="0"/>
          <w:color w:val="auto"/>
          <w:sz w:val="22"/>
          <w:szCs w:val="22"/>
        </w:rPr>
        <w:t xml:space="preserve"> </w:t>
      </w:r>
      <w:r w:rsidR="006D08F9" w:rsidRPr="00483629">
        <w:rPr>
          <w:rFonts w:asciiTheme="minorHAnsi" w:eastAsiaTheme="minorHAnsi" w:hAnsiTheme="minorHAnsi" w:cstheme="minorBidi"/>
          <w:iCs w:val="0"/>
          <w:color w:val="auto"/>
          <w:sz w:val="22"/>
          <w:szCs w:val="22"/>
        </w:rPr>
        <w:t>Each case will be treated on its own merits, but in general:</w:t>
      </w:r>
    </w:p>
    <w:p w14:paraId="5EFFF4A7" w14:textId="57945385" w:rsidR="006D08F9" w:rsidRPr="006D08F9" w:rsidRDefault="006D08F9" w:rsidP="007053DE">
      <w:pPr>
        <w:numPr>
          <w:ilvl w:val="0"/>
          <w:numId w:val="23"/>
        </w:numPr>
      </w:pPr>
      <w:r w:rsidRPr="00483629">
        <w:t xml:space="preserve">The administering authority will permit the prepayment of employer contributions. </w:t>
      </w:r>
    </w:p>
    <w:p w14:paraId="1C599F7C" w14:textId="4659F46C" w:rsidR="006D08F9" w:rsidRPr="006D08F9" w:rsidRDefault="006D08F9" w:rsidP="007053DE">
      <w:pPr>
        <w:numPr>
          <w:ilvl w:val="0"/>
          <w:numId w:val="23"/>
        </w:numPr>
      </w:pPr>
      <w:r w:rsidRPr="007053DE">
        <w:t>The prepayment of employee contributions is not permitted.</w:t>
      </w:r>
    </w:p>
    <w:p w14:paraId="35481258" w14:textId="7364C1BE" w:rsidR="006D08F9" w:rsidRPr="006D08F9" w:rsidRDefault="006D08F9" w:rsidP="007053DE">
      <w:pPr>
        <w:numPr>
          <w:ilvl w:val="0"/>
          <w:numId w:val="23"/>
        </w:numPr>
      </w:pPr>
      <w:r w:rsidRPr="007053DE">
        <w:t>A discount will be applied where employer contributions are prepaid</w:t>
      </w:r>
      <w:r w:rsidR="00F62830">
        <w:t>.</w:t>
      </w:r>
      <w:r w:rsidRPr="007053DE">
        <w:t xml:space="preserve"> </w:t>
      </w:r>
      <w:r w:rsidR="00F62830">
        <w:t xml:space="preserve">This is </w:t>
      </w:r>
      <w:r w:rsidRPr="007053DE">
        <w:t>to reflect the investment return that is assumed to be generated by the fund over the period of prepayment.</w:t>
      </w:r>
    </w:p>
    <w:p w14:paraId="28F47996" w14:textId="61DFE2A0" w:rsidR="006D08F9" w:rsidRPr="006D08F9" w:rsidRDefault="006D08F9" w:rsidP="007053DE">
      <w:pPr>
        <w:numPr>
          <w:ilvl w:val="0"/>
          <w:numId w:val="23"/>
        </w:numPr>
      </w:pPr>
      <w:r w:rsidRPr="007053DE">
        <w:t>The fund actuary will determine the prepayment amount, which may require assumptions to be made about payroll over the period which the scheduled contribution is due.</w:t>
      </w:r>
    </w:p>
    <w:p w14:paraId="4EEEC8AF" w14:textId="1CAC6122" w:rsidR="00653671" w:rsidRPr="00653671" w:rsidRDefault="006D08F9" w:rsidP="00653671">
      <w:pPr>
        <w:numPr>
          <w:ilvl w:val="0"/>
          <w:numId w:val="23"/>
        </w:numPr>
      </w:pPr>
      <w:r w:rsidRPr="007053DE">
        <w:t>Where contributions expressed as a percentage of pay have been prepaid, the administering authority will carry out an annual check to make sure that the actual amounts paid are sufficient to meet the contribution requirements set out in the R&amp;A certificate.</w:t>
      </w:r>
      <w:r w:rsidR="00653671" w:rsidRPr="00653671">
        <w:t xml:space="preserve"> If the amounts paid are not sufficient, additional contributions may be required from the employer.</w:t>
      </w:r>
    </w:p>
    <w:p w14:paraId="45E92B23" w14:textId="3995B51F" w:rsidR="006D08F9" w:rsidRPr="006D08F9" w:rsidRDefault="006D08F9" w:rsidP="001E179F">
      <w:pPr>
        <w:ind w:left="567"/>
      </w:pPr>
    </w:p>
    <w:p w14:paraId="1D28A7AC" w14:textId="4188B564" w:rsidR="006D08F9" w:rsidRPr="006D08F9" w:rsidRDefault="006D08F9" w:rsidP="007053DE">
      <w:pPr>
        <w:numPr>
          <w:ilvl w:val="0"/>
          <w:numId w:val="23"/>
        </w:numPr>
      </w:pPr>
      <w:r w:rsidRPr="007053DE">
        <w:t xml:space="preserve">Prepayment agreements will be documented by way of correspondence between the administering authority and the employer. </w:t>
      </w:r>
    </w:p>
    <w:p w14:paraId="3BB52FAD" w14:textId="3EDE2F6D" w:rsidR="006D08F9" w:rsidRPr="006D08F9" w:rsidRDefault="006D08F9" w:rsidP="007053DE">
      <w:pPr>
        <w:numPr>
          <w:ilvl w:val="0"/>
          <w:numId w:val="23"/>
        </w:numPr>
      </w:pPr>
      <w:r w:rsidRPr="007053DE">
        <w:lastRenderedPageBreak/>
        <w:t xml:space="preserve">The R&amp;A certificate will be updated on an annual basis to reflect any prepayment agreements in place. </w:t>
      </w:r>
    </w:p>
    <w:p w14:paraId="30F2D08C" w14:textId="1E294E39" w:rsidR="0033705A" w:rsidRDefault="006D08F9" w:rsidP="0033705A">
      <w:pPr>
        <w:pStyle w:val="ListParagraph"/>
        <w:numPr>
          <w:ilvl w:val="0"/>
          <w:numId w:val="23"/>
        </w:numPr>
      </w:pPr>
      <w:r w:rsidRPr="007053DE">
        <w:t>Employers are responsible for ensuring that any prepayment agreement is treated appropriately when accounting for pensions costs.</w:t>
      </w:r>
    </w:p>
    <w:p w14:paraId="7933D6E4" w14:textId="3EB85267" w:rsidR="006D08F9" w:rsidRDefault="006D08F9">
      <w:pPr>
        <w:rPr>
          <w:rFonts w:ascii="Calibri" w:eastAsiaTheme="majorEastAsia" w:hAnsi="Calibri" w:cstheme="majorBidi"/>
          <w:b/>
          <w:color w:val="244D7A"/>
          <w:sz w:val="24"/>
          <w:szCs w:val="26"/>
        </w:rPr>
      </w:pPr>
      <w:r w:rsidRPr="007053DE">
        <w:t>Prepayment agreements can cover any annual period of the R&amp;A (or a consecutive number of annual periods).</w:t>
      </w:r>
      <w:bookmarkStart w:id="17" w:name="_Toc194482862"/>
    </w:p>
    <w:p w14:paraId="0B55428A" w14:textId="44FEACB1" w:rsidR="005F4AA5" w:rsidRDefault="00E81C12" w:rsidP="00993FB9">
      <w:pPr>
        <w:pStyle w:val="Heading2"/>
        <w:ind w:left="-851"/>
      </w:pPr>
      <w:r>
        <w:t>2.2 The contribution rate calculation</w:t>
      </w:r>
      <w:bookmarkEnd w:id="17"/>
    </w:p>
    <w:p w14:paraId="5ADD45AD" w14:textId="02082B5C" w:rsidR="001A108C" w:rsidRDefault="00764DE6" w:rsidP="007E7576">
      <w:pPr>
        <w:pStyle w:val="Heading3"/>
        <w:spacing w:before="120"/>
        <w:ind w:left="-851"/>
      </w:pPr>
      <w:bookmarkStart w:id="18" w:name="_Toc194482863"/>
      <w:r>
        <w:t>C</w:t>
      </w:r>
      <w:r w:rsidR="001A108C">
        <w:t>ontribution rate calculation for individual pooled employers</w:t>
      </w:r>
      <w:bookmarkEnd w:id="18"/>
    </w:p>
    <w:tbl>
      <w:tblPr>
        <w:tblStyle w:val="TableGrid"/>
        <w:tblW w:w="10774" w:type="dxa"/>
        <w:tblInd w:w="-856" w:type="dxa"/>
        <w:tblLayout w:type="fixed"/>
        <w:tblLook w:val="04A0" w:firstRow="1" w:lastRow="0" w:firstColumn="1" w:lastColumn="0" w:noHBand="0" w:noVBand="1"/>
      </w:tblPr>
      <w:tblGrid>
        <w:gridCol w:w="1418"/>
        <w:gridCol w:w="1276"/>
        <w:gridCol w:w="1276"/>
        <w:gridCol w:w="1276"/>
        <w:gridCol w:w="1417"/>
        <w:gridCol w:w="1418"/>
        <w:gridCol w:w="1275"/>
        <w:gridCol w:w="1418"/>
      </w:tblGrid>
      <w:tr w:rsidR="00A43A5A" w14:paraId="3756735A" w14:textId="77777777">
        <w:trPr>
          <w:trHeight w:val="300"/>
          <w:tblHeader/>
        </w:trPr>
        <w:tc>
          <w:tcPr>
            <w:tcW w:w="1418" w:type="dxa"/>
            <w:shd w:val="clear" w:color="auto" w:fill="244D7A"/>
          </w:tcPr>
          <w:p w14:paraId="366EC2AA"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Type of employer</w:t>
            </w:r>
          </w:p>
        </w:tc>
        <w:tc>
          <w:tcPr>
            <w:tcW w:w="1276" w:type="dxa"/>
            <w:shd w:val="clear" w:color="auto" w:fill="244D7A"/>
          </w:tcPr>
          <w:p w14:paraId="522EB9AA"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Local authorities, police, fire</w:t>
            </w:r>
          </w:p>
        </w:tc>
        <w:tc>
          <w:tcPr>
            <w:tcW w:w="1276" w:type="dxa"/>
            <w:shd w:val="clear" w:color="auto" w:fill="244D7A"/>
          </w:tcPr>
          <w:p w14:paraId="65959AA7" w14:textId="77777777" w:rsidR="00A43A5A" w:rsidRPr="007840CB" w:rsidRDefault="00A43A5A">
            <w:pPr>
              <w:jc w:val="center"/>
              <w:rPr>
                <w:b/>
                <w:bCs/>
                <w:color w:val="FFFFFF" w:themeColor="background1"/>
                <w:sz w:val="20"/>
                <w:szCs w:val="20"/>
              </w:rPr>
            </w:pPr>
            <w:r>
              <w:rPr>
                <w:b/>
                <w:bCs/>
                <w:color w:val="FFFFFF" w:themeColor="background1"/>
                <w:sz w:val="20"/>
                <w:szCs w:val="20"/>
              </w:rPr>
              <w:t>Academies and Colleges</w:t>
            </w:r>
          </w:p>
        </w:tc>
        <w:tc>
          <w:tcPr>
            <w:tcW w:w="1276" w:type="dxa"/>
            <w:shd w:val="clear" w:color="auto" w:fill="244D7A"/>
          </w:tcPr>
          <w:p w14:paraId="375AE816" w14:textId="77777777" w:rsidR="00A43A5A" w:rsidRPr="007840CB" w:rsidRDefault="00A43A5A">
            <w:pPr>
              <w:jc w:val="center"/>
              <w:rPr>
                <w:b/>
                <w:bCs/>
                <w:color w:val="FFFFFF" w:themeColor="background1"/>
                <w:sz w:val="20"/>
                <w:szCs w:val="20"/>
              </w:rPr>
            </w:pPr>
            <w:r>
              <w:rPr>
                <w:b/>
                <w:bCs/>
                <w:color w:val="FFFFFF" w:themeColor="background1"/>
                <w:sz w:val="20"/>
                <w:szCs w:val="20"/>
              </w:rPr>
              <w:t>Universities</w:t>
            </w:r>
          </w:p>
        </w:tc>
        <w:tc>
          <w:tcPr>
            <w:tcW w:w="1417" w:type="dxa"/>
            <w:shd w:val="clear" w:color="auto" w:fill="244D7A"/>
          </w:tcPr>
          <w:p w14:paraId="358671A7"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CABs – individual open to new entrants</w:t>
            </w:r>
          </w:p>
        </w:tc>
        <w:tc>
          <w:tcPr>
            <w:tcW w:w="1418" w:type="dxa"/>
            <w:tcBorders>
              <w:bottom w:val="single" w:sz="4" w:space="0" w:color="auto"/>
            </w:tcBorders>
            <w:shd w:val="clear" w:color="auto" w:fill="244D7A"/>
          </w:tcPr>
          <w:p w14:paraId="01C2EF76"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CABs – individual closed to new entrants</w:t>
            </w:r>
          </w:p>
        </w:tc>
        <w:tc>
          <w:tcPr>
            <w:tcW w:w="1275" w:type="dxa"/>
            <w:tcBorders>
              <w:bottom w:val="single" w:sz="4" w:space="0" w:color="auto"/>
            </w:tcBorders>
            <w:shd w:val="clear" w:color="auto" w:fill="244D7A"/>
          </w:tcPr>
          <w:p w14:paraId="2E69228A"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Designated employers – individual &amp; pooled</w:t>
            </w:r>
          </w:p>
        </w:tc>
        <w:tc>
          <w:tcPr>
            <w:tcW w:w="1418" w:type="dxa"/>
            <w:tcBorders>
              <w:bottom w:val="single" w:sz="4" w:space="0" w:color="auto"/>
            </w:tcBorders>
            <w:shd w:val="clear" w:color="auto" w:fill="244D7A"/>
          </w:tcPr>
          <w:p w14:paraId="125EC31B" w14:textId="77777777" w:rsidR="00A43A5A" w:rsidRPr="007840CB" w:rsidRDefault="00A43A5A">
            <w:pPr>
              <w:jc w:val="center"/>
              <w:rPr>
                <w:b/>
                <w:bCs/>
                <w:color w:val="FFFFFF" w:themeColor="background1"/>
                <w:sz w:val="20"/>
                <w:szCs w:val="20"/>
              </w:rPr>
            </w:pPr>
            <w:r w:rsidRPr="5EF0911E">
              <w:rPr>
                <w:b/>
                <w:bCs/>
                <w:color w:val="FFFFFF" w:themeColor="background1"/>
                <w:sz w:val="20"/>
                <w:szCs w:val="20"/>
              </w:rPr>
              <w:t>TABs*   (all)</w:t>
            </w:r>
          </w:p>
        </w:tc>
      </w:tr>
      <w:tr w:rsidR="00A43A5A" w14:paraId="2B93893C" w14:textId="77777777">
        <w:trPr>
          <w:trHeight w:val="300"/>
        </w:trPr>
        <w:tc>
          <w:tcPr>
            <w:tcW w:w="1418" w:type="dxa"/>
            <w:tcBorders>
              <w:top w:val="nil"/>
              <w:bottom w:val="nil"/>
            </w:tcBorders>
            <w:shd w:val="clear" w:color="auto" w:fill="B4C6E7" w:themeFill="accent5" w:themeFillTint="66"/>
          </w:tcPr>
          <w:p w14:paraId="4F0FDBB9" w14:textId="77777777" w:rsidR="00A43A5A" w:rsidRPr="005A3E97" w:rsidRDefault="00A43A5A">
            <w:pPr>
              <w:rPr>
                <w:b/>
                <w:bCs/>
                <w:sz w:val="20"/>
                <w:szCs w:val="20"/>
              </w:rPr>
            </w:pPr>
            <w:r w:rsidRPr="5EF0911E">
              <w:rPr>
                <w:b/>
                <w:bCs/>
                <w:sz w:val="18"/>
                <w:szCs w:val="18"/>
              </w:rPr>
              <w:t>SAB Tier</w:t>
            </w:r>
          </w:p>
        </w:tc>
        <w:tc>
          <w:tcPr>
            <w:tcW w:w="1276" w:type="dxa"/>
            <w:tcBorders>
              <w:top w:val="nil"/>
              <w:bottom w:val="nil"/>
            </w:tcBorders>
            <w:shd w:val="clear" w:color="auto" w:fill="B4C6E7" w:themeFill="accent5" w:themeFillTint="66"/>
          </w:tcPr>
          <w:p w14:paraId="2E6D165C" w14:textId="77777777" w:rsidR="00A43A5A" w:rsidRPr="00B10A04" w:rsidRDefault="00A43A5A">
            <w:pPr>
              <w:jc w:val="center"/>
              <w:rPr>
                <w:sz w:val="20"/>
                <w:szCs w:val="20"/>
              </w:rPr>
            </w:pPr>
            <w:r w:rsidRPr="5EF0911E">
              <w:rPr>
                <w:b/>
                <w:bCs/>
                <w:sz w:val="18"/>
                <w:szCs w:val="18"/>
              </w:rPr>
              <w:t>Tier 1</w:t>
            </w:r>
          </w:p>
        </w:tc>
        <w:tc>
          <w:tcPr>
            <w:tcW w:w="1276" w:type="dxa"/>
            <w:tcBorders>
              <w:top w:val="nil"/>
              <w:bottom w:val="nil"/>
            </w:tcBorders>
            <w:shd w:val="clear" w:color="auto" w:fill="B4C6E7" w:themeFill="accent5" w:themeFillTint="66"/>
          </w:tcPr>
          <w:p w14:paraId="29FF8C35" w14:textId="77777777" w:rsidR="00A43A5A" w:rsidRPr="00B10A04" w:rsidRDefault="00A43A5A">
            <w:pPr>
              <w:jc w:val="center"/>
              <w:rPr>
                <w:sz w:val="20"/>
                <w:szCs w:val="20"/>
              </w:rPr>
            </w:pPr>
            <w:r w:rsidRPr="5EF0911E">
              <w:rPr>
                <w:b/>
                <w:bCs/>
                <w:sz w:val="18"/>
                <w:szCs w:val="18"/>
              </w:rPr>
              <w:t xml:space="preserve">Tier </w:t>
            </w:r>
            <w:r>
              <w:rPr>
                <w:b/>
                <w:bCs/>
                <w:sz w:val="18"/>
                <w:szCs w:val="18"/>
              </w:rPr>
              <w:t>2</w:t>
            </w:r>
          </w:p>
        </w:tc>
        <w:tc>
          <w:tcPr>
            <w:tcW w:w="1276" w:type="dxa"/>
            <w:tcBorders>
              <w:top w:val="nil"/>
              <w:bottom w:val="nil"/>
            </w:tcBorders>
            <w:shd w:val="clear" w:color="auto" w:fill="B4C6E7" w:themeFill="accent5" w:themeFillTint="66"/>
          </w:tcPr>
          <w:p w14:paraId="4BB29D5A" w14:textId="77777777" w:rsidR="00A43A5A" w:rsidRPr="00B10A04" w:rsidRDefault="00A43A5A">
            <w:pPr>
              <w:jc w:val="center"/>
              <w:rPr>
                <w:sz w:val="20"/>
                <w:szCs w:val="20"/>
              </w:rPr>
            </w:pPr>
            <w:r w:rsidRPr="5EF0911E">
              <w:rPr>
                <w:b/>
                <w:bCs/>
                <w:sz w:val="18"/>
                <w:szCs w:val="18"/>
              </w:rPr>
              <w:t xml:space="preserve">Tier </w:t>
            </w:r>
            <w:r>
              <w:rPr>
                <w:b/>
                <w:bCs/>
                <w:sz w:val="18"/>
                <w:szCs w:val="18"/>
              </w:rPr>
              <w:t>3</w:t>
            </w:r>
          </w:p>
        </w:tc>
        <w:tc>
          <w:tcPr>
            <w:tcW w:w="1417" w:type="dxa"/>
            <w:tcBorders>
              <w:top w:val="nil"/>
              <w:bottom w:val="nil"/>
            </w:tcBorders>
            <w:shd w:val="clear" w:color="auto" w:fill="B4C6E7" w:themeFill="accent5" w:themeFillTint="66"/>
          </w:tcPr>
          <w:p w14:paraId="1E4B6635" w14:textId="77777777" w:rsidR="00A43A5A" w:rsidRPr="00B10A04" w:rsidRDefault="00A43A5A">
            <w:pPr>
              <w:jc w:val="center"/>
              <w:rPr>
                <w:sz w:val="20"/>
                <w:szCs w:val="20"/>
              </w:rPr>
            </w:pPr>
            <w:r w:rsidRPr="5EF0911E">
              <w:rPr>
                <w:b/>
                <w:bCs/>
                <w:sz w:val="18"/>
                <w:szCs w:val="18"/>
              </w:rPr>
              <w:t>Tier 3</w:t>
            </w:r>
          </w:p>
        </w:tc>
        <w:tc>
          <w:tcPr>
            <w:tcW w:w="1418" w:type="dxa"/>
            <w:tcBorders>
              <w:top w:val="single" w:sz="4" w:space="0" w:color="auto"/>
              <w:bottom w:val="single" w:sz="4" w:space="0" w:color="auto"/>
            </w:tcBorders>
            <w:shd w:val="clear" w:color="auto" w:fill="B4C6E7" w:themeFill="accent5" w:themeFillTint="66"/>
          </w:tcPr>
          <w:p w14:paraId="4D9CB0EE" w14:textId="77777777" w:rsidR="00A43A5A" w:rsidRPr="00B10A04" w:rsidRDefault="00A43A5A">
            <w:pPr>
              <w:jc w:val="center"/>
              <w:rPr>
                <w:sz w:val="20"/>
                <w:szCs w:val="20"/>
              </w:rPr>
            </w:pPr>
            <w:r w:rsidRPr="5EF0911E">
              <w:rPr>
                <w:b/>
                <w:bCs/>
                <w:sz w:val="18"/>
                <w:szCs w:val="18"/>
              </w:rPr>
              <w:t>Tier 3</w:t>
            </w:r>
          </w:p>
        </w:tc>
        <w:tc>
          <w:tcPr>
            <w:tcW w:w="1275" w:type="dxa"/>
            <w:tcBorders>
              <w:top w:val="single" w:sz="4" w:space="0" w:color="auto"/>
              <w:bottom w:val="single" w:sz="4" w:space="0" w:color="auto"/>
            </w:tcBorders>
            <w:shd w:val="clear" w:color="auto" w:fill="B4C6E7" w:themeFill="accent5" w:themeFillTint="66"/>
          </w:tcPr>
          <w:p w14:paraId="0F3C84B6" w14:textId="77777777" w:rsidR="00A43A5A" w:rsidRPr="00B10A04" w:rsidRDefault="00A43A5A">
            <w:pPr>
              <w:jc w:val="center"/>
              <w:rPr>
                <w:sz w:val="20"/>
                <w:szCs w:val="20"/>
              </w:rPr>
            </w:pPr>
            <w:r w:rsidRPr="5EF0911E">
              <w:rPr>
                <w:b/>
                <w:bCs/>
                <w:sz w:val="18"/>
                <w:szCs w:val="18"/>
              </w:rPr>
              <w:t>Tier 3</w:t>
            </w:r>
          </w:p>
        </w:tc>
        <w:tc>
          <w:tcPr>
            <w:tcW w:w="1418" w:type="dxa"/>
            <w:shd w:val="clear" w:color="auto" w:fill="B4C6E7" w:themeFill="accent5" w:themeFillTint="66"/>
          </w:tcPr>
          <w:p w14:paraId="1FBC0353" w14:textId="77777777" w:rsidR="00A43A5A" w:rsidRPr="00B10A04" w:rsidRDefault="00A43A5A">
            <w:pPr>
              <w:jc w:val="center"/>
              <w:rPr>
                <w:sz w:val="20"/>
                <w:szCs w:val="20"/>
              </w:rPr>
            </w:pPr>
            <w:r w:rsidRPr="5EF0911E">
              <w:rPr>
                <w:b/>
                <w:bCs/>
                <w:sz w:val="18"/>
                <w:szCs w:val="18"/>
              </w:rPr>
              <w:t>Tier 1</w:t>
            </w:r>
          </w:p>
        </w:tc>
      </w:tr>
      <w:tr w:rsidR="00A43A5A" w14:paraId="323F8200" w14:textId="77777777">
        <w:trPr>
          <w:trHeight w:val="300"/>
        </w:trPr>
        <w:tc>
          <w:tcPr>
            <w:tcW w:w="1418" w:type="dxa"/>
          </w:tcPr>
          <w:p w14:paraId="26F74583" w14:textId="77777777" w:rsidR="00A43A5A" w:rsidRPr="005A3E97" w:rsidRDefault="00A43A5A">
            <w:pPr>
              <w:rPr>
                <w:b/>
                <w:bCs/>
                <w:color w:val="61207F"/>
                <w:sz w:val="20"/>
                <w:szCs w:val="20"/>
              </w:rPr>
            </w:pPr>
            <w:r w:rsidRPr="5EF0911E">
              <w:rPr>
                <w:b/>
                <w:bCs/>
                <w:color w:val="61207F"/>
                <w:sz w:val="20"/>
                <w:szCs w:val="20"/>
              </w:rPr>
              <w:t>Funding basis **</w:t>
            </w:r>
          </w:p>
        </w:tc>
        <w:tc>
          <w:tcPr>
            <w:tcW w:w="1276" w:type="dxa"/>
            <w:tcMar>
              <w:left w:w="28" w:type="dxa"/>
              <w:right w:w="28" w:type="dxa"/>
            </w:tcMar>
          </w:tcPr>
          <w:p w14:paraId="77327A5E" w14:textId="77777777" w:rsidR="00A43A5A" w:rsidRPr="005A3E97" w:rsidRDefault="00A43A5A">
            <w:pPr>
              <w:jc w:val="center"/>
              <w:rPr>
                <w:sz w:val="20"/>
                <w:szCs w:val="20"/>
              </w:rPr>
            </w:pPr>
            <w:r w:rsidRPr="5EF0911E">
              <w:rPr>
                <w:sz w:val="20"/>
                <w:szCs w:val="20"/>
              </w:rPr>
              <w:t>Ongoing</w:t>
            </w:r>
          </w:p>
        </w:tc>
        <w:tc>
          <w:tcPr>
            <w:tcW w:w="1276" w:type="dxa"/>
            <w:tcMar>
              <w:left w:w="28" w:type="dxa"/>
              <w:right w:w="28" w:type="dxa"/>
            </w:tcMar>
          </w:tcPr>
          <w:p w14:paraId="668D68CC" w14:textId="77777777" w:rsidR="00A43A5A" w:rsidRPr="005A3E97" w:rsidRDefault="00A43A5A">
            <w:pPr>
              <w:jc w:val="center"/>
              <w:rPr>
                <w:sz w:val="20"/>
                <w:szCs w:val="20"/>
              </w:rPr>
            </w:pPr>
            <w:r w:rsidRPr="5EF0911E">
              <w:rPr>
                <w:sz w:val="20"/>
                <w:szCs w:val="20"/>
              </w:rPr>
              <w:t>Ongoing</w:t>
            </w:r>
          </w:p>
        </w:tc>
        <w:tc>
          <w:tcPr>
            <w:tcW w:w="1276" w:type="dxa"/>
            <w:tcMar>
              <w:left w:w="28" w:type="dxa"/>
              <w:right w:w="28" w:type="dxa"/>
            </w:tcMar>
          </w:tcPr>
          <w:p w14:paraId="59FA55AA" w14:textId="77777777" w:rsidR="00A43A5A" w:rsidRPr="005A3E97" w:rsidRDefault="00A43A5A">
            <w:pPr>
              <w:jc w:val="center"/>
              <w:rPr>
                <w:sz w:val="20"/>
                <w:szCs w:val="20"/>
              </w:rPr>
            </w:pPr>
            <w:r w:rsidRPr="5EF0911E">
              <w:rPr>
                <w:sz w:val="20"/>
                <w:szCs w:val="20"/>
              </w:rPr>
              <w:t>Ongoing</w:t>
            </w:r>
          </w:p>
        </w:tc>
        <w:tc>
          <w:tcPr>
            <w:tcW w:w="1417" w:type="dxa"/>
            <w:tcMar>
              <w:left w:w="28" w:type="dxa"/>
              <w:right w:w="28" w:type="dxa"/>
            </w:tcMar>
          </w:tcPr>
          <w:p w14:paraId="73B548C0" w14:textId="77777777" w:rsidR="00A43A5A" w:rsidRPr="005A3E97" w:rsidRDefault="00A43A5A">
            <w:pPr>
              <w:jc w:val="center"/>
              <w:rPr>
                <w:sz w:val="20"/>
                <w:szCs w:val="20"/>
              </w:rPr>
            </w:pPr>
            <w:r w:rsidRPr="5EF0911E">
              <w:rPr>
                <w:sz w:val="20"/>
                <w:szCs w:val="20"/>
              </w:rPr>
              <w:t>Ongoing</w:t>
            </w:r>
          </w:p>
        </w:tc>
        <w:tc>
          <w:tcPr>
            <w:tcW w:w="1418" w:type="dxa"/>
            <w:tcBorders>
              <w:top w:val="single" w:sz="4" w:space="0" w:color="auto"/>
            </w:tcBorders>
            <w:tcMar>
              <w:left w:w="28" w:type="dxa"/>
              <w:right w:w="28" w:type="dxa"/>
            </w:tcMar>
          </w:tcPr>
          <w:p w14:paraId="0CB4E078" w14:textId="77777777" w:rsidR="00A43A5A" w:rsidRPr="005A3E97" w:rsidRDefault="00A43A5A">
            <w:pPr>
              <w:jc w:val="center"/>
              <w:rPr>
                <w:sz w:val="20"/>
                <w:szCs w:val="20"/>
              </w:rPr>
            </w:pPr>
            <w:r w:rsidRPr="5EF0911E">
              <w:rPr>
                <w:sz w:val="20"/>
                <w:szCs w:val="20"/>
              </w:rPr>
              <w:t>Low risk exit basis</w:t>
            </w:r>
          </w:p>
        </w:tc>
        <w:tc>
          <w:tcPr>
            <w:tcW w:w="1275" w:type="dxa"/>
            <w:tcBorders>
              <w:top w:val="single" w:sz="4" w:space="0" w:color="auto"/>
            </w:tcBorders>
            <w:tcMar>
              <w:left w:w="28" w:type="dxa"/>
              <w:right w:w="28" w:type="dxa"/>
            </w:tcMar>
          </w:tcPr>
          <w:p w14:paraId="121412AB" w14:textId="77777777" w:rsidR="00A43A5A" w:rsidRPr="005A3E97" w:rsidRDefault="00A43A5A">
            <w:pPr>
              <w:jc w:val="center"/>
              <w:rPr>
                <w:sz w:val="20"/>
                <w:szCs w:val="20"/>
              </w:rPr>
            </w:pPr>
            <w:r w:rsidRPr="5EF0911E">
              <w:rPr>
                <w:sz w:val="20"/>
                <w:szCs w:val="20"/>
              </w:rPr>
              <w:t>Ongoing but may move to low risk exit basis</w:t>
            </w:r>
          </w:p>
        </w:tc>
        <w:tc>
          <w:tcPr>
            <w:tcW w:w="1418" w:type="dxa"/>
            <w:tcMar>
              <w:left w:w="28" w:type="dxa"/>
              <w:right w:w="28" w:type="dxa"/>
            </w:tcMar>
          </w:tcPr>
          <w:p w14:paraId="271CF101" w14:textId="77777777" w:rsidR="00A43A5A" w:rsidRPr="005A3E97" w:rsidRDefault="00A43A5A">
            <w:pPr>
              <w:jc w:val="center"/>
              <w:rPr>
                <w:sz w:val="20"/>
                <w:szCs w:val="20"/>
              </w:rPr>
            </w:pPr>
            <w:r w:rsidRPr="5EF0911E">
              <w:rPr>
                <w:sz w:val="20"/>
                <w:szCs w:val="20"/>
              </w:rPr>
              <w:t xml:space="preserve">Ongoing </w:t>
            </w:r>
          </w:p>
        </w:tc>
      </w:tr>
      <w:tr w:rsidR="00A43A5A" w14:paraId="33633ED0" w14:textId="77777777">
        <w:trPr>
          <w:trHeight w:val="300"/>
        </w:trPr>
        <w:tc>
          <w:tcPr>
            <w:tcW w:w="1418" w:type="dxa"/>
          </w:tcPr>
          <w:p w14:paraId="3E7CA0AF" w14:textId="77777777" w:rsidR="00A43A5A" w:rsidRPr="005A3E97" w:rsidRDefault="00A43A5A">
            <w:pPr>
              <w:rPr>
                <w:b/>
                <w:bCs/>
                <w:color w:val="61207F"/>
                <w:sz w:val="20"/>
                <w:szCs w:val="20"/>
              </w:rPr>
            </w:pPr>
            <w:r w:rsidRPr="5EF0911E">
              <w:rPr>
                <w:b/>
                <w:bCs/>
                <w:color w:val="61207F"/>
                <w:sz w:val="20"/>
                <w:szCs w:val="20"/>
              </w:rPr>
              <w:t>Target funding level</w:t>
            </w:r>
          </w:p>
        </w:tc>
        <w:tc>
          <w:tcPr>
            <w:tcW w:w="1276" w:type="dxa"/>
            <w:tcMar>
              <w:left w:w="28" w:type="dxa"/>
              <w:right w:w="28" w:type="dxa"/>
            </w:tcMar>
          </w:tcPr>
          <w:p w14:paraId="4E2D3C1B" w14:textId="77777777" w:rsidR="00A43A5A" w:rsidRPr="005A3E97" w:rsidRDefault="00A43A5A">
            <w:pPr>
              <w:jc w:val="center"/>
              <w:rPr>
                <w:sz w:val="20"/>
                <w:szCs w:val="20"/>
              </w:rPr>
            </w:pPr>
            <w:r w:rsidRPr="5EF0911E">
              <w:rPr>
                <w:sz w:val="20"/>
                <w:szCs w:val="20"/>
              </w:rPr>
              <w:t>120%</w:t>
            </w:r>
          </w:p>
        </w:tc>
        <w:tc>
          <w:tcPr>
            <w:tcW w:w="1276" w:type="dxa"/>
            <w:tcMar>
              <w:left w:w="28" w:type="dxa"/>
              <w:right w:w="28" w:type="dxa"/>
            </w:tcMar>
          </w:tcPr>
          <w:p w14:paraId="3867AC2E" w14:textId="77777777" w:rsidR="00A43A5A" w:rsidRPr="005A3E97" w:rsidRDefault="00A43A5A">
            <w:pPr>
              <w:jc w:val="center"/>
              <w:rPr>
                <w:sz w:val="20"/>
                <w:szCs w:val="20"/>
              </w:rPr>
            </w:pPr>
            <w:r w:rsidRPr="5EF0911E">
              <w:rPr>
                <w:sz w:val="20"/>
                <w:szCs w:val="20"/>
              </w:rPr>
              <w:t>1</w:t>
            </w:r>
            <w:r>
              <w:rPr>
                <w:sz w:val="20"/>
                <w:szCs w:val="20"/>
              </w:rPr>
              <w:t>2</w:t>
            </w:r>
            <w:r w:rsidRPr="5EF0911E">
              <w:rPr>
                <w:sz w:val="20"/>
                <w:szCs w:val="20"/>
              </w:rPr>
              <w:t>0%</w:t>
            </w:r>
          </w:p>
        </w:tc>
        <w:tc>
          <w:tcPr>
            <w:tcW w:w="1276" w:type="dxa"/>
            <w:tcMar>
              <w:left w:w="28" w:type="dxa"/>
              <w:right w:w="28" w:type="dxa"/>
            </w:tcMar>
          </w:tcPr>
          <w:p w14:paraId="7C45286A" w14:textId="77777777" w:rsidR="00A43A5A" w:rsidRPr="005A3E97" w:rsidRDefault="00A43A5A">
            <w:pPr>
              <w:jc w:val="center"/>
              <w:rPr>
                <w:sz w:val="20"/>
                <w:szCs w:val="20"/>
              </w:rPr>
            </w:pPr>
            <w:r w:rsidRPr="5EF0911E">
              <w:rPr>
                <w:sz w:val="20"/>
                <w:szCs w:val="20"/>
              </w:rPr>
              <w:t>1</w:t>
            </w:r>
            <w:r>
              <w:rPr>
                <w:sz w:val="20"/>
                <w:szCs w:val="20"/>
              </w:rPr>
              <w:t>0</w:t>
            </w:r>
            <w:r w:rsidRPr="5EF0911E">
              <w:rPr>
                <w:sz w:val="20"/>
                <w:szCs w:val="20"/>
              </w:rPr>
              <w:t>0%</w:t>
            </w:r>
          </w:p>
        </w:tc>
        <w:tc>
          <w:tcPr>
            <w:tcW w:w="1417" w:type="dxa"/>
            <w:tcMar>
              <w:left w:w="28" w:type="dxa"/>
              <w:right w:w="28" w:type="dxa"/>
            </w:tcMar>
          </w:tcPr>
          <w:p w14:paraId="042C6432" w14:textId="77777777" w:rsidR="00A43A5A" w:rsidRPr="005A3E97" w:rsidRDefault="00A43A5A">
            <w:pPr>
              <w:jc w:val="center"/>
              <w:rPr>
                <w:sz w:val="20"/>
                <w:szCs w:val="20"/>
              </w:rPr>
            </w:pPr>
            <w:r w:rsidRPr="5EF0911E">
              <w:rPr>
                <w:sz w:val="20"/>
                <w:szCs w:val="20"/>
              </w:rPr>
              <w:t>100%</w:t>
            </w:r>
          </w:p>
        </w:tc>
        <w:tc>
          <w:tcPr>
            <w:tcW w:w="1418" w:type="dxa"/>
            <w:tcMar>
              <w:left w:w="28" w:type="dxa"/>
              <w:right w:w="28" w:type="dxa"/>
            </w:tcMar>
          </w:tcPr>
          <w:p w14:paraId="360C850B" w14:textId="77777777" w:rsidR="00A43A5A" w:rsidRPr="005A3E97" w:rsidRDefault="00A43A5A">
            <w:pPr>
              <w:jc w:val="center"/>
              <w:rPr>
                <w:sz w:val="20"/>
                <w:szCs w:val="20"/>
              </w:rPr>
            </w:pPr>
            <w:r w:rsidRPr="5EF0911E">
              <w:rPr>
                <w:sz w:val="20"/>
                <w:szCs w:val="20"/>
              </w:rPr>
              <w:t>100%</w:t>
            </w:r>
          </w:p>
        </w:tc>
        <w:tc>
          <w:tcPr>
            <w:tcW w:w="1275" w:type="dxa"/>
            <w:tcMar>
              <w:left w:w="28" w:type="dxa"/>
              <w:right w:w="28" w:type="dxa"/>
            </w:tcMar>
          </w:tcPr>
          <w:p w14:paraId="1958B74A" w14:textId="77777777" w:rsidR="00A43A5A" w:rsidRPr="005A3E97" w:rsidRDefault="00A43A5A">
            <w:pPr>
              <w:jc w:val="center"/>
              <w:rPr>
                <w:sz w:val="20"/>
                <w:szCs w:val="20"/>
              </w:rPr>
            </w:pPr>
            <w:r w:rsidRPr="5EF0911E">
              <w:rPr>
                <w:sz w:val="20"/>
                <w:szCs w:val="20"/>
              </w:rPr>
              <w:t>100%</w:t>
            </w:r>
          </w:p>
        </w:tc>
        <w:tc>
          <w:tcPr>
            <w:tcW w:w="1418" w:type="dxa"/>
            <w:tcMar>
              <w:left w:w="28" w:type="dxa"/>
              <w:right w:w="28" w:type="dxa"/>
            </w:tcMar>
          </w:tcPr>
          <w:p w14:paraId="7B7C3F83" w14:textId="77777777" w:rsidR="00A43A5A" w:rsidRPr="005A3E97" w:rsidRDefault="00A43A5A">
            <w:pPr>
              <w:jc w:val="center"/>
              <w:rPr>
                <w:sz w:val="20"/>
                <w:szCs w:val="20"/>
              </w:rPr>
            </w:pPr>
            <w:r w:rsidRPr="5EF0911E">
              <w:rPr>
                <w:sz w:val="20"/>
                <w:szCs w:val="20"/>
              </w:rPr>
              <w:t>100%</w:t>
            </w:r>
          </w:p>
        </w:tc>
      </w:tr>
      <w:tr w:rsidR="00A43A5A" w14:paraId="7BE35B55" w14:textId="77777777">
        <w:trPr>
          <w:trHeight w:val="300"/>
        </w:trPr>
        <w:tc>
          <w:tcPr>
            <w:tcW w:w="1418" w:type="dxa"/>
          </w:tcPr>
          <w:p w14:paraId="7BCBAAA2" w14:textId="77777777" w:rsidR="00A43A5A" w:rsidRPr="007840CB" w:rsidRDefault="00A43A5A">
            <w:pPr>
              <w:rPr>
                <w:b/>
                <w:bCs/>
                <w:color w:val="61207F"/>
                <w:sz w:val="20"/>
                <w:szCs w:val="20"/>
              </w:rPr>
            </w:pPr>
            <w:r w:rsidRPr="5EF0911E">
              <w:rPr>
                <w:b/>
                <w:bCs/>
                <w:color w:val="61207F"/>
                <w:sz w:val="20"/>
                <w:szCs w:val="20"/>
              </w:rPr>
              <w:t>Minimum likelihood of success</w:t>
            </w:r>
          </w:p>
        </w:tc>
        <w:tc>
          <w:tcPr>
            <w:tcW w:w="1276" w:type="dxa"/>
            <w:tcMar>
              <w:left w:w="28" w:type="dxa"/>
              <w:right w:w="28" w:type="dxa"/>
            </w:tcMar>
          </w:tcPr>
          <w:p w14:paraId="4F5E0695" w14:textId="77777777" w:rsidR="00A43A5A" w:rsidRPr="005A3E97" w:rsidRDefault="00A43A5A">
            <w:pPr>
              <w:jc w:val="center"/>
              <w:rPr>
                <w:sz w:val="20"/>
                <w:szCs w:val="20"/>
              </w:rPr>
            </w:pPr>
            <w:r w:rsidRPr="5EF0911E">
              <w:rPr>
                <w:sz w:val="20"/>
                <w:szCs w:val="20"/>
              </w:rPr>
              <w:t>70%</w:t>
            </w:r>
          </w:p>
        </w:tc>
        <w:tc>
          <w:tcPr>
            <w:tcW w:w="1276" w:type="dxa"/>
            <w:tcMar>
              <w:left w:w="28" w:type="dxa"/>
              <w:right w:w="28" w:type="dxa"/>
            </w:tcMar>
          </w:tcPr>
          <w:p w14:paraId="652F542C" w14:textId="77777777" w:rsidR="00A43A5A" w:rsidRPr="005A3E97" w:rsidRDefault="00A43A5A">
            <w:pPr>
              <w:jc w:val="center"/>
              <w:rPr>
                <w:sz w:val="20"/>
                <w:szCs w:val="20"/>
              </w:rPr>
            </w:pPr>
            <w:r w:rsidRPr="5EF0911E">
              <w:rPr>
                <w:sz w:val="20"/>
                <w:szCs w:val="20"/>
              </w:rPr>
              <w:t>7</w:t>
            </w:r>
            <w:r>
              <w:rPr>
                <w:sz w:val="20"/>
                <w:szCs w:val="20"/>
              </w:rPr>
              <w:t>0</w:t>
            </w:r>
            <w:r w:rsidRPr="5EF0911E">
              <w:rPr>
                <w:sz w:val="20"/>
                <w:szCs w:val="20"/>
              </w:rPr>
              <w:t>%</w:t>
            </w:r>
          </w:p>
        </w:tc>
        <w:tc>
          <w:tcPr>
            <w:tcW w:w="1276" w:type="dxa"/>
            <w:tcMar>
              <w:left w:w="28" w:type="dxa"/>
              <w:right w:w="28" w:type="dxa"/>
            </w:tcMar>
          </w:tcPr>
          <w:p w14:paraId="63BD1837" w14:textId="77777777" w:rsidR="00A43A5A" w:rsidRPr="005A3E97" w:rsidRDefault="00A43A5A">
            <w:pPr>
              <w:jc w:val="center"/>
              <w:rPr>
                <w:sz w:val="20"/>
                <w:szCs w:val="20"/>
              </w:rPr>
            </w:pPr>
            <w:r w:rsidRPr="5EF0911E">
              <w:rPr>
                <w:sz w:val="20"/>
                <w:szCs w:val="20"/>
              </w:rPr>
              <w:t>7</w:t>
            </w:r>
            <w:r>
              <w:rPr>
                <w:sz w:val="20"/>
                <w:szCs w:val="20"/>
              </w:rPr>
              <w:t>5</w:t>
            </w:r>
            <w:r w:rsidRPr="5EF0911E">
              <w:rPr>
                <w:sz w:val="20"/>
                <w:szCs w:val="20"/>
              </w:rPr>
              <w:t>%</w:t>
            </w:r>
          </w:p>
        </w:tc>
        <w:tc>
          <w:tcPr>
            <w:tcW w:w="1417" w:type="dxa"/>
            <w:tcMar>
              <w:left w:w="28" w:type="dxa"/>
              <w:right w:w="28" w:type="dxa"/>
            </w:tcMar>
          </w:tcPr>
          <w:p w14:paraId="6856D5F6" w14:textId="77777777" w:rsidR="00A43A5A" w:rsidRPr="005A3E97" w:rsidRDefault="00A43A5A">
            <w:pPr>
              <w:jc w:val="center"/>
              <w:rPr>
                <w:sz w:val="20"/>
                <w:szCs w:val="20"/>
              </w:rPr>
            </w:pPr>
            <w:r w:rsidRPr="5EF0911E">
              <w:rPr>
                <w:sz w:val="20"/>
                <w:szCs w:val="20"/>
              </w:rPr>
              <w:t xml:space="preserve">80%       </w:t>
            </w:r>
          </w:p>
        </w:tc>
        <w:tc>
          <w:tcPr>
            <w:tcW w:w="1418" w:type="dxa"/>
            <w:tcMar>
              <w:left w:w="28" w:type="dxa"/>
              <w:right w:w="28" w:type="dxa"/>
            </w:tcMar>
          </w:tcPr>
          <w:p w14:paraId="665B325B" w14:textId="77777777" w:rsidR="00A43A5A" w:rsidRPr="005A3E97" w:rsidRDefault="00A43A5A">
            <w:pPr>
              <w:jc w:val="center"/>
              <w:rPr>
                <w:sz w:val="20"/>
                <w:szCs w:val="20"/>
              </w:rPr>
            </w:pPr>
            <w:r w:rsidRPr="5EF0911E">
              <w:rPr>
                <w:sz w:val="20"/>
                <w:szCs w:val="20"/>
              </w:rPr>
              <w:t>70%</w:t>
            </w:r>
          </w:p>
        </w:tc>
        <w:tc>
          <w:tcPr>
            <w:tcW w:w="1275" w:type="dxa"/>
            <w:tcMar>
              <w:left w:w="28" w:type="dxa"/>
              <w:right w:w="28" w:type="dxa"/>
            </w:tcMar>
          </w:tcPr>
          <w:p w14:paraId="53A7ADCA" w14:textId="77777777" w:rsidR="00A43A5A" w:rsidRPr="005A3E97" w:rsidRDefault="00A43A5A">
            <w:pPr>
              <w:jc w:val="center"/>
              <w:rPr>
                <w:sz w:val="20"/>
                <w:szCs w:val="20"/>
              </w:rPr>
            </w:pPr>
            <w:r w:rsidRPr="5EF0911E">
              <w:rPr>
                <w:sz w:val="20"/>
                <w:szCs w:val="20"/>
              </w:rPr>
              <w:t>70%</w:t>
            </w:r>
          </w:p>
        </w:tc>
        <w:tc>
          <w:tcPr>
            <w:tcW w:w="1418" w:type="dxa"/>
            <w:tcMar>
              <w:left w:w="28" w:type="dxa"/>
              <w:right w:w="28" w:type="dxa"/>
            </w:tcMar>
          </w:tcPr>
          <w:p w14:paraId="62C30B54" w14:textId="77777777" w:rsidR="00A43A5A" w:rsidRPr="005A3E97" w:rsidRDefault="00A43A5A">
            <w:pPr>
              <w:jc w:val="center"/>
              <w:rPr>
                <w:sz w:val="20"/>
                <w:szCs w:val="20"/>
              </w:rPr>
            </w:pPr>
            <w:r w:rsidRPr="5EF0911E">
              <w:rPr>
                <w:sz w:val="20"/>
                <w:szCs w:val="20"/>
              </w:rPr>
              <w:t>70%</w:t>
            </w:r>
          </w:p>
        </w:tc>
      </w:tr>
      <w:tr w:rsidR="00A43A5A" w14:paraId="23C0BB31" w14:textId="77777777">
        <w:trPr>
          <w:trHeight w:val="300"/>
        </w:trPr>
        <w:tc>
          <w:tcPr>
            <w:tcW w:w="1418" w:type="dxa"/>
          </w:tcPr>
          <w:p w14:paraId="79D600BE" w14:textId="77777777" w:rsidR="00A43A5A" w:rsidRPr="007840CB" w:rsidRDefault="00A43A5A">
            <w:pPr>
              <w:rPr>
                <w:b/>
                <w:bCs/>
                <w:color w:val="61207F"/>
                <w:sz w:val="20"/>
                <w:szCs w:val="20"/>
              </w:rPr>
            </w:pPr>
            <w:r w:rsidRPr="5EF0911E">
              <w:rPr>
                <w:b/>
                <w:bCs/>
                <w:color w:val="61207F"/>
                <w:sz w:val="20"/>
                <w:szCs w:val="20"/>
              </w:rPr>
              <w:t>Maximum time horizon</w:t>
            </w:r>
          </w:p>
        </w:tc>
        <w:tc>
          <w:tcPr>
            <w:tcW w:w="1276" w:type="dxa"/>
            <w:tcMar>
              <w:left w:w="28" w:type="dxa"/>
              <w:right w:w="28" w:type="dxa"/>
            </w:tcMar>
          </w:tcPr>
          <w:p w14:paraId="21E7806C" w14:textId="77777777" w:rsidR="00A43A5A" w:rsidRPr="005A3E97" w:rsidRDefault="00A43A5A">
            <w:pPr>
              <w:jc w:val="center"/>
              <w:rPr>
                <w:sz w:val="20"/>
                <w:szCs w:val="20"/>
              </w:rPr>
            </w:pPr>
            <w:r w:rsidRPr="5EF0911E">
              <w:rPr>
                <w:sz w:val="20"/>
                <w:szCs w:val="20"/>
              </w:rPr>
              <w:t>20 years</w:t>
            </w:r>
          </w:p>
        </w:tc>
        <w:tc>
          <w:tcPr>
            <w:tcW w:w="1276" w:type="dxa"/>
            <w:tcMar>
              <w:left w:w="28" w:type="dxa"/>
              <w:right w:w="28" w:type="dxa"/>
            </w:tcMar>
          </w:tcPr>
          <w:p w14:paraId="49366B67" w14:textId="77777777" w:rsidR="00A43A5A" w:rsidRPr="005A3E97" w:rsidRDefault="00A43A5A">
            <w:pPr>
              <w:jc w:val="center"/>
              <w:rPr>
                <w:sz w:val="20"/>
                <w:szCs w:val="20"/>
              </w:rPr>
            </w:pPr>
            <w:r>
              <w:rPr>
                <w:sz w:val="20"/>
                <w:szCs w:val="20"/>
              </w:rPr>
              <w:t>20</w:t>
            </w:r>
            <w:r w:rsidRPr="5EF0911E">
              <w:rPr>
                <w:sz w:val="20"/>
                <w:szCs w:val="20"/>
              </w:rPr>
              <w:t xml:space="preserve"> years</w:t>
            </w:r>
          </w:p>
        </w:tc>
        <w:tc>
          <w:tcPr>
            <w:tcW w:w="1276" w:type="dxa"/>
            <w:tcMar>
              <w:left w:w="28" w:type="dxa"/>
              <w:right w:w="28" w:type="dxa"/>
            </w:tcMar>
          </w:tcPr>
          <w:p w14:paraId="47C322C9" w14:textId="77777777" w:rsidR="00A43A5A" w:rsidRPr="005A3E97" w:rsidRDefault="00A43A5A">
            <w:pPr>
              <w:jc w:val="center"/>
              <w:rPr>
                <w:sz w:val="20"/>
                <w:szCs w:val="20"/>
              </w:rPr>
            </w:pPr>
            <w:r>
              <w:rPr>
                <w:sz w:val="20"/>
                <w:szCs w:val="20"/>
              </w:rPr>
              <w:t>15</w:t>
            </w:r>
            <w:r w:rsidRPr="5EF0911E">
              <w:rPr>
                <w:sz w:val="20"/>
                <w:szCs w:val="20"/>
              </w:rPr>
              <w:t xml:space="preserve"> years</w:t>
            </w:r>
          </w:p>
        </w:tc>
        <w:tc>
          <w:tcPr>
            <w:tcW w:w="1417" w:type="dxa"/>
            <w:tcMar>
              <w:left w:w="28" w:type="dxa"/>
              <w:right w:w="28" w:type="dxa"/>
            </w:tcMar>
          </w:tcPr>
          <w:p w14:paraId="241A6717" w14:textId="77777777" w:rsidR="00A43A5A" w:rsidRPr="005A3E97" w:rsidRDefault="00A43A5A">
            <w:pPr>
              <w:jc w:val="center"/>
              <w:rPr>
                <w:sz w:val="20"/>
                <w:szCs w:val="20"/>
              </w:rPr>
            </w:pPr>
            <w:r w:rsidRPr="5EF0911E">
              <w:rPr>
                <w:sz w:val="20"/>
                <w:szCs w:val="20"/>
              </w:rPr>
              <w:t>15 or 10 years (with or without a guarantor respectively</w:t>
            </w:r>
            <w:r>
              <w:rPr>
                <w:sz w:val="20"/>
                <w:szCs w:val="20"/>
              </w:rPr>
              <w:t>)</w:t>
            </w:r>
          </w:p>
        </w:tc>
        <w:tc>
          <w:tcPr>
            <w:tcW w:w="1418" w:type="dxa"/>
            <w:tcMar>
              <w:left w:w="28" w:type="dxa"/>
              <w:right w:w="28" w:type="dxa"/>
            </w:tcMar>
          </w:tcPr>
          <w:p w14:paraId="23F1B0AE" w14:textId="77777777" w:rsidR="00A43A5A" w:rsidRPr="005A3E97" w:rsidRDefault="00A43A5A">
            <w:pPr>
              <w:jc w:val="center"/>
              <w:rPr>
                <w:sz w:val="20"/>
                <w:szCs w:val="20"/>
              </w:rPr>
            </w:pPr>
            <w:r w:rsidRPr="5EF0911E">
              <w:rPr>
                <w:sz w:val="20"/>
                <w:szCs w:val="20"/>
              </w:rPr>
              <w:t>Average future working lifetime</w:t>
            </w:r>
          </w:p>
        </w:tc>
        <w:tc>
          <w:tcPr>
            <w:tcW w:w="1275" w:type="dxa"/>
            <w:tcMar>
              <w:left w:w="28" w:type="dxa"/>
              <w:right w:w="28" w:type="dxa"/>
            </w:tcMar>
          </w:tcPr>
          <w:p w14:paraId="0A13B617" w14:textId="77777777" w:rsidR="00A43A5A" w:rsidRPr="005A3E97" w:rsidRDefault="00A43A5A">
            <w:pPr>
              <w:jc w:val="center"/>
              <w:rPr>
                <w:sz w:val="20"/>
                <w:szCs w:val="20"/>
              </w:rPr>
            </w:pPr>
            <w:r w:rsidRPr="5EF0911E">
              <w:rPr>
                <w:sz w:val="20"/>
                <w:szCs w:val="20"/>
              </w:rPr>
              <w:t>15 years</w:t>
            </w:r>
          </w:p>
        </w:tc>
        <w:tc>
          <w:tcPr>
            <w:tcW w:w="1418" w:type="dxa"/>
            <w:tcMar>
              <w:left w:w="28" w:type="dxa"/>
              <w:right w:w="28" w:type="dxa"/>
            </w:tcMar>
          </w:tcPr>
          <w:p w14:paraId="313D50A5" w14:textId="77777777" w:rsidR="00A43A5A" w:rsidRPr="005A3E97" w:rsidRDefault="00A43A5A">
            <w:pPr>
              <w:jc w:val="center"/>
              <w:rPr>
                <w:sz w:val="20"/>
                <w:szCs w:val="20"/>
              </w:rPr>
            </w:pPr>
            <w:r w:rsidRPr="5EF0911E">
              <w:rPr>
                <w:sz w:val="20"/>
                <w:szCs w:val="20"/>
              </w:rPr>
              <w:t>Outstanding contract term (or average future working lifetime if less)</w:t>
            </w:r>
          </w:p>
        </w:tc>
      </w:tr>
      <w:tr w:rsidR="00A43A5A" w14:paraId="2E470124" w14:textId="77777777">
        <w:trPr>
          <w:trHeight w:val="300"/>
        </w:trPr>
        <w:tc>
          <w:tcPr>
            <w:tcW w:w="1418" w:type="dxa"/>
          </w:tcPr>
          <w:p w14:paraId="27F6CB6B" w14:textId="77777777" w:rsidR="00A43A5A" w:rsidRPr="007840CB" w:rsidRDefault="00A43A5A">
            <w:pPr>
              <w:rPr>
                <w:b/>
                <w:bCs/>
                <w:color w:val="61207F"/>
                <w:sz w:val="20"/>
                <w:szCs w:val="20"/>
              </w:rPr>
            </w:pPr>
            <w:r w:rsidRPr="5EF0911E">
              <w:rPr>
                <w:b/>
                <w:bCs/>
                <w:color w:val="61207F"/>
                <w:sz w:val="20"/>
                <w:szCs w:val="20"/>
              </w:rPr>
              <w:t>Primary rate approach</w:t>
            </w:r>
            <w:r>
              <w:rPr>
                <w:b/>
                <w:bCs/>
                <w:color w:val="61207F"/>
                <w:sz w:val="20"/>
                <w:szCs w:val="20"/>
              </w:rPr>
              <w:t>^</w:t>
            </w:r>
          </w:p>
        </w:tc>
        <w:tc>
          <w:tcPr>
            <w:tcW w:w="1276" w:type="dxa"/>
            <w:tcMar>
              <w:left w:w="28" w:type="dxa"/>
              <w:right w:w="28" w:type="dxa"/>
            </w:tcMar>
          </w:tcPr>
          <w:p w14:paraId="41E6896F" w14:textId="77777777" w:rsidR="00A43A5A" w:rsidRPr="005A3E97" w:rsidDel="005324D8" w:rsidRDefault="00A43A5A">
            <w:pPr>
              <w:jc w:val="center"/>
              <w:rPr>
                <w:sz w:val="20"/>
                <w:szCs w:val="20"/>
              </w:rPr>
            </w:pPr>
            <w:bookmarkStart w:id="19" w:name="_Hlk220590872"/>
            <w:r w:rsidRPr="007840CB">
              <w:rPr>
                <w:sz w:val="20"/>
                <w:szCs w:val="20"/>
              </w:rPr>
              <w:t>See footnote below</w:t>
            </w:r>
            <w:r w:rsidRPr="5EF0911E" w:rsidDel="005324D8">
              <w:rPr>
                <w:sz w:val="20"/>
                <w:szCs w:val="20"/>
              </w:rPr>
              <w:t xml:space="preserve"> </w:t>
            </w:r>
          </w:p>
        </w:tc>
        <w:tc>
          <w:tcPr>
            <w:tcW w:w="1276" w:type="dxa"/>
          </w:tcPr>
          <w:p w14:paraId="44333EB1" w14:textId="77777777" w:rsidR="00A43A5A" w:rsidRPr="005A3E97" w:rsidRDefault="00A43A5A">
            <w:pPr>
              <w:jc w:val="center"/>
              <w:rPr>
                <w:sz w:val="20"/>
                <w:szCs w:val="20"/>
              </w:rPr>
            </w:pPr>
            <w:r w:rsidRPr="007840CB">
              <w:rPr>
                <w:sz w:val="20"/>
                <w:szCs w:val="20"/>
              </w:rPr>
              <w:t>See footnote below</w:t>
            </w:r>
            <w:r w:rsidRPr="5EF0911E" w:rsidDel="005324D8">
              <w:rPr>
                <w:sz w:val="20"/>
                <w:szCs w:val="20"/>
              </w:rPr>
              <w:t xml:space="preserve"> </w:t>
            </w:r>
          </w:p>
        </w:tc>
        <w:tc>
          <w:tcPr>
            <w:tcW w:w="1276" w:type="dxa"/>
          </w:tcPr>
          <w:p w14:paraId="7CF8DE32" w14:textId="77777777" w:rsidR="00A43A5A" w:rsidRPr="005A3E97" w:rsidRDefault="00A43A5A">
            <w:pPr>
              <w:jc w:val="center"/>
              <w:rPr>
                <w:sz w:val="20"/>
                <w:szCs w:val="20"/>
              </w:rPr>
            </w:pPr>
            <w:r w:rsidRPr="007840CB">
              <w:rPr>
                <w:sz w:val="20"/>
                <w:szCs w:val="20"/>
              </w:rPr>
              <w:t>See footnote below</w:t>
            </w:r>
          </w:p>
        </w:tc>
        <w:tc>
          <w:tcPr>
            <w:tcW w:w="1417" w:type="dxa"/>
          </w:tcPr>
          <w:p w14:paraId="72711275" w14:textId="77777777" w:rsidR="00A43A5A" w:rsidRPr="005A3E97" w:rsidRDefault="00A43A5A">
            <w:pPr>
              <w:jc w:val="center"/>
              <w:rPr>
                <w:sz w:val="20"/>
                <w:szCs w:val="20"/>
              </w:rPr>
            </w:pPr>
            <w:r w:rsidRPr="007840CB">
              <w:rPr>
                <w:sz w:val="20"/>
                <w:szCs w:val="20"/>
              </w:rPr>
              <w:t>See footnote below</w:t>
            </w:r>
          </w:p>
        </w:tc>
        <w:tc>
          <w:tcPr>
            <w:tcW w:w="1418" w:type="dxa"/>
          </w:tcPr>
          <w:p w14:paraId="76DDFABA" w14:textId="77777777" w:rsidR="00A43A5A" w:rsidRPr="005A3E97" w:rsidRDefault="00A43A5A">
            <w:pPr>
              <w:jc w:val="center"/>
              <w:rPr>
                <w:sz w:val="20"/>
                <w:szCs w:val="20"/>
              </w:rPr>
            </w:pPr>
            <w:r w:rsidRPr="007840CB">
              <w:rPr>
                <w:sz w:val="20"/>
                <w:szCs w:val="20"/>
              </w:rPr>
              <w:t>See footnote below</w:t>
            </w:r>
          </w:p>
        </w:tc>
        <w:tc>
          <w:tcPr>
            <w:tcW w:w="1275" w:type="dxa"/>
          </w:tcPr>
          <w:p w14:paraId="3CE8A4E3" w14:textId="77777777" w:rsidR="00A43A5A" w:rsidRPr="005A3E97" w:rsidRDefault="00A43A5A">
            <w:pPr>
              <w:jc w:val="center"/>
              <w:rPr>
                <w:sz w:val="20"/>
                <w:szCs w:val="20"/>
              </w:rPr>
            </w:pPr>
            <w:r w:rsidRPr="007840CB">
              <w:rPr>
                <w:sz w:val="20"/>
                <w:szCs w:val="20"/>
              </w:rPr>
              <w:t>See footnote below</w:t>
            </w:r>
          </w:p>
        </w:tc>
        <w:bookmarkEnd w:id="19"/>
        <w:tc>
          <w:tcPr>
            <w:tcW w:w="1418" w:type="dxa"/>
          </w:tcPr>
          <w:p w14:paraId="440A60EC" w14:textId="77777777" w:rsidR="00A43A5A" w:rsidRPr="005A3E97" w:rsidRDefault="00A43A5A">
            <w:pPr>
              <w:jc w:val="center"/>
              <w:rPr>
                <w:sz w:val="20"/>
                <w:szCs w:val="20"/>
              </w:rPr>
            </w:pPr>
            <w:r w:rsidRPr="007840CB">
              <w:rPr>
                <w:sz w:val="20"/>
                <w:szCs w:val="20"/>
              </w:rPr>
              <w:t>See footnote below</w:t>
            </w:r>
          </w:p>
        </w:tc>
      </w:tr>
      <w:tr w:rsidR="00A43A5A" w14:paraId="21173C74" w14:textId="77777777">
        <w:trPr>
          <w:trHeight w:val="300"/>
        </w:trPr>
        <w:tc>
          <w:tcPr>
            <w:tcW w:w="1418" w:type="dxa"/>
          </w:tcPr>
          <w:p w14:paraId="56CDEB7B" w14:textId="77777777" w:rsidR="00A43A5A" w:rsidRPr="007840CB" w:rsidRDefault="00A43A5A">
            <w:pPr>
              <w:rPr>
                <w:b/>
                <w:bCs/>
                <w:color w:val="61207F"/>
                <w:sz w:val="20"/>
                <w:szCs w:val="20"/>
              </w:rPr>
            </w:pPr>
            <w:r w:rsidRPr="5EF0911E">
              <w:rPr>
                <w:b/>
                <w:bCs/>
                <w:color w:val="61207F"/>
                <w:sz w:val="20"/>
                <w:szCs w:val="20"/>
              </w:rPr>
              <w:t>Secondary rate</w:t>
            </w:r>
            <w:r>
              <w:rPr>
                <w:b/>
                <w:bCs/>
                <w:color w:val="61207F"/>
                <w:sz w:val="20"/>
                <w:szCs w:val="20"/>
              </w:rPr>
              <w:t>^^</w:t>
            </w:r>
          </w:p>
        </w:tc>
        <w:tc>
          <w:tcPr>
            <w:tcW w:w="1276" w:type="dxa"/>
            <w:tcMar>
              <w:left w:w="28" w:type="dxa"/>
              <w:right w:w="28" w:type="dxa"/>
            </w:tcMar>
          </w:tcPr>
          <w:p w14:paraId="34CFB815" w14:textId="77777777" w:rsidR="00A43A5A" w:rsidRPr="005A3E97" w:rsidRDefault="00A43A5A">
            <w:pPr>
              <w:jc w:val="center"/>
              <w:rPr>
                <w:sz w:val="20"/>
                <w:szCs w:val="20"/>
              </w:rPr>
            </w:pPr>
            <w:r w:rsidRPr="007840CB">
              <w:rPr>
                <w:sz w:val="20"/>
                <w:szCs w:val="20"/>
              </w:rPr>
              <w:t>See footnote below</w:t>
            </w:r>
            <w:r w:rsidRPr="5EF0911E" w:rsidDel="005324D8">
              <w:rPr>
                <w:sz w:val="20"/>
                <w:szCs w:val="20"/>
              </w:rPr>
              <w:t xml:space="preserve"> </w:t>
            </w:r>
          </w:p>
        </w:tc>
        <w:tc>
          <w:tcPr>
            <w:tcW w:w="1276" w:type="dxa"/>
          </w:tcPr>
          <w:p w14:paraId="1FD5D4C6" w14:textId="77777777" w:rsidR="00A43A5A" w:rsidRPr="005A3E97" w:rsidRDefault="00A43A5A">
            <w:pPr>
              <w:jc w:val="center"/>
              <w:rPr>
                <w:sz w:val="20"/>
                <w:szCs w:val="20"/>
              </w:rPr>
            </w:pPr>
            <w:r w:rsidRPr="007840CB">
              <w:rPr>
                <w:sz w:val="20"/>
                <w:szCs w:val="20"/>
              </w:rPr>
              <w:t>See footnote below</w:t>
            </w:r>
          </w:p>
        </w:tc>
        <w:tc>
          <w:tcPr>
            <w:tcW w:w="1276" w:type="dxa"/>
          </w:tcPr>
          <w:p w14:paraId="69506CEB" w14:textId="77777777" w:rsidR="00A43A5A" w:rsidRPr="005A3E97" w:rsidRDefault="00A43A5A">
            <w:pPr>
              <w:jc w:val="center"/>
              <w:rPr>
                <w:sz w:val="20"/>
                <w:szCs w:val="20"/>
              </w:rPr>
            </w:pPr>
            <w:r w:rsidRPr="007840CB">
              <w:rPr>
                <w:sz w:val="20"/>
                <w:szCs w:val="20"/>
              </w:rPr>
              <w:t>See footnote below</w:t>
            </w:r>
          </w:p>
        </w:tc>
        <w:tc>
          <w:tcPr>
            <w:tcW w:w="1417" w:type="dxa"/>
          </w:tcPr>
          <w:p w14:paraId="4D6F6E07" w14:textId="77777777" w:rsidR="00A43A5A" w:rsidRPr="005A3E97" w:rsidRDefault="00A43A5A">
            <w:pPr>
              <w:jc w:val="center"/>
              <w:rPr>
                <w:sz w:val="20"/>
                <w:szCs w:val="20"/>
              </w:rPr>
            </w:pPr>
            <w:r w:rsidRPr="007840CB">
              <w:rPr>
                <w:sz w:val="20"/>
                <w:szCs w:val="20"/>
              </w:rPr>
              <w:t>See footnote below</w:t>
            </w:r>
          </w:p>
        </w:tc>
        <w:tc>
          <w:tcPr>
            <w:tcW w:w="1418" w:type="dxa"/>
          </w:tcPr>
          <w:p w14:paraId="46DCE9A5" w14:textId="77777777" w:rsidR="00A43A5A" w:rsidRPr="005A3E97" w:rsidRDefault="00A43A5A">
            <w:pPr>
              <w:jc w:val="center"/>
              <w:rPr>
                <w:sz w:val="20"/>
                <w:szCs w:val="20"/>
              </w:rPr>
            </w:pPr>
            <w:r w:rsidRPr="007840CB">
              <w:rPr>
                <w:sz w:val="20"/>
                <w:szCs w:val="20"/>
              </w:rPr>
              <w:t>See footnote below</w:t>
            </w:r>
          </w:p>
        </w:tc>
        <w:tc>
          <w:tcPr>
            <w:tcW w:w="1275" w:type="dxa"/>
          </w:tcPr>
          <w:p w14:paraId="23FC3662" w14:textId="77777777" w:rsidR="00A43A5A" w:rsidRPr="005A3E97" w:rsidRDefault="00A43A5A">
            <w:pPr>
              <w:jc w:val="center"/>
              <w:rPr>
                <w:sz w:val="20"/>
                <w:szCs w:val="20"/>
              </w:rPr>
            </w:pPr>
            <w:r w:rsidRPr="007840CB">
              <w:rPr>
                <w:sz w:val="20"/>
                <w:szCs w:val="20"/>
              </w:rPr>
              <w:t>See footnote below</w:t>
            </w:r>
          </w:p>
        </w:tc>
        <w:tc>
          <w:tcPr>
            <w:tcW w:w="1418" w:type="dxa"/>
          </w:tcPr>
          <w:p w14:paraId="1DBF2678" w14:textId="77777777" w:rsidR="00A43A5A" w:rsidRPr="005A3E97" w:rsidRDefault="00A43A5A">
            <w:pPr>
              <w:jc w:val="center"/>
              <w:rPr>
                <w:sz w:val="20"/>
                <w:szCs w:val="20"/>
              </w:rPr>
            </w:pPr>
            <w:r w:rsidRPr="007840CB">
              <w:rPr>
                <w:sz w:val="20"/>
                <w:szCs w:val="20"/>
              </w:rPr>
              <w:t>See footnote below</w:t>
            </w:r>
          </w:p>
        </w:tc>
      </w:tr>
      <w:tr w:rsidR="00A43A5A" w14:paraId="45674BF4" w14:textId="77777777">
        <w:trPr>
          <w:trHeight w:val="300"/>
        </w:trPr>
        <w:tc>
          <w:tcPr>
            <w:tcW w:w="1418" w:type="dxa"/>
          </w:tcPr>
          <w:p w14:paraId="59C49104" w14:textId="77777777" w:rsidR="00A43A5A" w:rsidRPr="007840CB" w:rsidRDefault="00A43A5A">
            <w:pPr>
              <w:rPr>
                <w:b/>
                <w:bCs/>
                <w:color w:val="61207F"/>
                <w:sz w:val="20"/>
                <w:szCs w:val="20"/>
              </w:rPr>
            </w:pPr>
            <w:r w:rsidRPr="5EF0911E">
              <w:rPr>
                <w:b/>
                <w:bCs/>
                <w:color w:val="61207F"/>
                <w:sz w:val="20"/>
                <w:szCs w:val="20"/>
              </w:rPr>
              <w:t>Stabilised contribution rate?</w:t>
            </w:r>
          </w:p>
        </w:tc>
        <w:tc>
          <w:tcPr>
            <w:tcW w:w="1276" w:type="dxa"/>
            <w:tcMar>
              <w:left w:w="28" w:type="dxa"/>
              <w:right w:w="28" w:type="dxa"/>
            </w:tcMar>
          </w:tcPr>
          <w:p w14:paraId="64FC362B" w14:textId="77777777" w:rsidR="00A43A5A" w:rsidRPr="005A3E97" w:rsidRDefault="00A43A5A">
            <w:pPr>
              <w:jc w:val="center"/>
              <w:rPr>
                <w:sz w:val="20"/>
                <w:szCs w:val="20"/>
              </w:rPr>
            </w:pPr>
            <w:r w:rsidRPr="5EF0911E">
              <w:rPr>
                <w:sz w:val="20"/>
                <w:szCs w:val="20"/>
              </w:rPr>
              <w:t>Yes</w:t>
            </w:r>
          </w:p>
        </w:tc>
        <w:tc>
          <w:tcPr>
            <w:tcW w:w="1276" w:type="dxa"/>
            <w:tcMar>
              <w:left w:w="28" w:type="dxa"/>
              <w:right w:w="28" w:type="dxa"/>
            </w:tcMar>
          </w:tcPr>
          <w:p w14:paraId="3AB70928" w14:textId="77777777" w:rsidR="00A43A5A" w:rsidRPr="005A3E97" w:rsidRDefault="00A43A5A">
            <w:pPr>
              <w:jc w:val="center"/>
              <w:rPr>
                <w:sz w:val="20"/>
                <w:szCs w:val="20"/>
              </w:rPr>
            </w:pPr>
            <w:r>
              <w:rPr>
                <w:sz w:val="20"/>
                <w:szCs w:val="20"/>
              </w:rPr>
              <w:t>Yes</w:t>
            </w:r>
          </w:p>
        </w:tc>
        <w:tc>
          <w:tcPr>
            <w:tcW w:w="1276" w:type="dxa"/>
            <w:tcMar>
              <w:left w:w="28" w:type="dxa"/>
              <w:right w:w="28" w:type="dxa"/>
            </w:tcMar>
          </w:tcPr>
          <w:p w14:paraId="1AE70ED6" w14:textId="77777777" w:rsidR="00A43A5A" w:rsidRPr="005A3E97" w:rsidRDefault="00A43A5A">
            <w:pPr>
              <w:jc w:val="center"/>
              <w:rPr>
                <w:sz w:val="20"/>
                <w:szCs w:val="20"/>
              </w:rPr>
            </w:pPr>
            <w:r>
              <w:rPr>
                <w:sz w:val="20"/>
                <w:szCs w:val="20"/>
              </w:rPr>
              <w:t>No</w:t>
            </w:r>
          </w:p>
        </w:tc>
        <w:tc>
          <w:tcPr>
            <w:tcW w:w="1417" w:type="dxa"/>
            <w:tcMar>
              <w:left w:w="28" w:type="dxa"/>
              <w:right w:w="28" w:type="dxa"/>
            </w:tcMar>
          </w:tcPr>
          <w:p w14:paraId="2D30F046" w14:textId="77777777" w:rsidR="00A43A5A" w:rsidRPr="005A3E97" w:rsidRDefault="00A43A5A">
            <w:pPr>
              <w:jc w:val="center"/>
              <w:rPr>
                <w:sz w:val="20"/>
                <w:szCs w:val="20"/>
              </w:rPr>
            </w:pPr>
            <w:r w:rsidRPr="5EF0911E">
              <w:rPr>
                <w:sz w:val="20"/>
                <w:szCs w:val="20"/>
              </w:rPr>
              <w:t>No</w:t>
            </w:r>
          </w:p>
        </w:tc>
        <w:tc>
          <w:tcPr>
            <w:tcW w:w="1418" w:type="dxa"/>
            <w:tcMar>
              <w:left w:w="28" w:type="dxa"/>
              <w:right w:w="28" w:type="dxa"/>
            </w:tcMar>
          </w:tcPr>
          <w:p w14:paraId="497E80AD" w14:textId="77777777" w:rsidR="00A43A5A" w:rsidRPr="005A3E97" w:rsidRDefault="00A43A5A">
            <w:pPr>
              <w:jc w:val="center"/>
              <w:rPr>
                <w:sz w:val="20"/>
                <w:szCs w:val="20"/>
              </w:rPr>
            </w:pPr>
            <w:r w:rsidRPr="5EF0911E">
              <w:rPr>
                <w:sz w:val="20"/>
                <w:szCs w:val="20"/>
              </w:rPr>
              <w:t>No</w:t>
            </w:r>
          </w:p>
        </w:tc>
        <w:tc>
          <w:tcPr>
            <w:tcW w:w="1275" w:type="dxa"/>
            <w:tcMar>
              <w:left w:w="28" w:type="dxa"/>
              <w:right w:w="28" w:type="dxa"/>
            </w:tcMar>
          </w:tcPr>
          <w:p w14:paraId="151B3F1F" w14:textId="77777777" w:rsidR="00A43A5A" w:rsidRPr="005A3E97" w:rsidRDefault="00A43A5A">
            <w:pPr>
              <w:jc w:val="center"/>
              <w:rPr>
                <w:sz w:val="20"/>
                <w:szCs w:val="20"/>
              </w:rPr>
            </w:pPr>
            <w:r w:rsidRPr="5EF0911E">
              <w:rPr>
                <w:sz w:val="20"/>
                <w:szCs w:val="20"/>
              </w:rPr>
              <w:t>No</w:t>
            </w:r>
          </w:p>
        </w:tc>
        <w:tc>
          <w:tcPr>
            <w:tcW w:w="1418" w:type="dxa"/>
            <w:tcMar>
              <w:left w:w="28" w:type="dxa"/>
              <w:right w:w="28" w:type="dxa"/>
            </w:tcMar>
          </w:tcPr>
          <w:p w14:paraId="51514CAC" w14:textId="77777777" w:rsidR="00A43A5A" w:rsidRPr="005A3E97" w:rsidRDefault="00A43A5A">
            <w:pPr>
              <w:jc w:val="center"/>
              <w:rPr>
                <w:sz w:val="20"/>
                <w:szCs w:val="20"/>
              </w:rPr>
            </w:pPr>
            <w:r w:rsidRPr="5EF0911E">
              <w:rPr>
                <w:sz w:val="20"/>
                <w:szCs w:val="20"/>
              </w:rPr>
              <w:t>No</w:t>
            </w:r>
          </w:p>
        </w:tc>
      </w:tr>
      <w:tr w:rsidR="00A43A5A" w14:paraId="185D7D87" w14:textId="77777777">
        <w:trPr>
          <w:trHeight w:val="300"/>
        </w:trPr>
        <w:tc>
          <w:tcPr>
            <w:tcW w:w="1418" w:type="dxa"/>
          </w:tcPr>
          <w:p w14:paraId="44E3788F" w14:textId="77777777" w:rsidR="00A43A5A" w:rsidRPr="007840CB" w:rsidRDefault="00A43A5A">
            <w:pPr>
              <w:rPr>
                <w:b/>
                <w:bCs/>
                <w:color w:val="61207F"/>
                <w:sz w:val="20"/>
                <w:szCs w:val="20"/>
              </w:rPr>
            </w:pPr>
            <w:r w:rsidRPr="5EF0911E">
              <w:rPr>
                <w:b/>
                <w:bCs/>
                <w:color w:val="61207F"/>
                <w:sz w:val="20"/>
                <w:szCs w:val="20"/>
              </w:rPr>
              <w:t>Treatment of surplus</w:t>
            </w:r>
          </w:p>
        </w:tc>
        <w:tc>
          <w:tcPr>
            <w:tcW w:w="1276" w:type="dxa"/>
            <w:tcBorders>
              <w:bottom w:val="single" w:sz="4" w:space="0" w:color="auto"/>
            </w:tcBorders>
            <w:tcMar>
              <w:left w:w="28" w:type="dxa"/>
              <w:right w:w="28" w:type="dxa"/>
            </w:tcMar>
          </w:tcPr>
          <w:p w14:paraId="6594DC1D" w14:textId="77777777" w:rsidR="00A43A5A" w:rsidRPr="005A3E97" w:rsidRDefault="00A43A5A">
            <w:pPr>
              <w:jc w:val="center"/>
              <w:rPr>
                <w:sz w:val="20"/>
                <w:szCs w:val="20"/>
              </w:rPr>
            </w:pPr>
            <w:r w:rsidRPr="5EF0911E">
              <w:rPr>
                <w:sz w:val="20"/>
                <w:szCs w:val="20"/>
              </w:rPr>
              <w:t>Covered by stabilisation arrangement</w:t>
            </w:r>
          </w:p>
        </w:tc>
        <w:tc>
          <w:tcPr>
            <w:tcW w:w="1276" w:type="dxa"/>
            <w:tcBorders>
              <w:bottom w:val="single" w:sz="4" w:space="0" w:color="auto"/>
            </w:tcBorders>
            <w:tcMar>
              <w:left w:w="28" w:type="dxa"/>
              <w:right w:w="28" w:type="dxa"/>
            </w:tcMar>
          </w:tcPr>
          <w:p w14:paraId="1ACD4065" w14:textId="77777777" w:rsidR="00A43A5A" w:rsidRPr="005A3E97" w:rsidRDefault="00A43A5A">
            <w:pPr>
              <w:jc w:val="center"/>
              <w:rPr>
                <w:sz w:val="20"/>
                <w:szCs w:val="20"/>
              </w:rPr>
            </w:pPr>
            <w:r w:rsidRPr="5EF0911E">
              <w:rPr>
                <w:sz w:val="20"/>
                <w:szCs w:val="20"/>
              </w:rPr>
              <w:t>Covered by stabilisation arrangement</w:t>
            </w:r>
          </w:p>
        </w:tc>
        <w:tc>
          <w:tcPr>
            <w:tcW w:w="1276" w:type="dxa"/>
            <w:tcBorders>
              <w:bottom w:val="single" w:sz="4" w:space="0" w:color="auto"/>
            </w:tcBorders>
            <w:tcMar>
              <w:left w:w="28" w:type="dxa"/>
              <w:right w:w="28" w:type="dxa"/>
            </w:tcMar>
          </w:tcPr>
          <w:p w14:paraId="4F2C1FD5" w14:textId="77777777" w:rsidR="00A43A5A" w:rsidRPr="005A3E97" w:rsidRDefault="00A43A5A">
            <w:pPr>
              <w:jc w:val="center"/>
              <w:rPr>
                <w:sz w:val="20"/>
                <w:szCs w:val="20"/>
              </w:rPr>
            </w:pPr>
            <w:r w:rsidRPr="5EF0911E">
              <w:rPr>
                <w:sz w:val="20"/>
                <w:szCs w:val="20"/>
              </w:rPr>
              <w:t>Preferred approach: contributions kept at primary rate. Reductions may be permitted by the administering authority</w:t>
            </w:r>
          </w:p>
        </w:tc>
        <w:tc>
          <w:tcPr>
            <w:tcW w:w="1417" w:type="dxa"/>
            <w:tcBorders>
              <w:bottom w:val="single" w:sz="4" w:space="0" w:color="auto"/>
            </w:tcBorders>
          </w:tcPr>
          <w:p w14:paraId="6ACE109C" w14:textId="77777777" w:rsidR="00A43A5A" w:rsidRPr="005A3E97" w:rsidRDefault="00A43A5A">
            <w:pPr>
              <w:jc w:val="center"/>
              <w:rPr>
                <w:sz w:val="20"/>
                <w:szCs w:val="20"/>
              </w:rPr>
            </w:pPr>
            <w:r w:rsidRPr="5EF0911E">
              <w:rPr>
                <w:sz w:val="20"/>
                <w:szCs w:val="20"/>
              </w:rPr>
              <w:t>Preferred approach: contributions kept at primary rate. Reductions may be permitted by the administering authority</w:t>
            </w:r>
          </w:p>
        </w:tc>
        <w:tc>
          <w:tcPr>
            <w:tcW w:w="1418" w:type="dxa"/>
            <w:tcBorders>
              <w:bottom w:val="single" w:sz="4" w:space="0" w:color="auto"/>
            </w:tcBorders>
          </w:tcPr>
          <w:p w14:paraId="7E600F87" w14:textId="77777777" w:rsidR="00A43A5A" w:rsidRPr="005A3E97" w:rsidRDefault="00A43A5A">
            <w:pPr>
              <w:jc w:val="center"/>
              <w:rPr>
                <w:sz w:val="20"/>
                <w:szCs w:val="20"/>
              </w:rPr>
            </w:pPr>
            <w:r w:rsidRPr="5EF0911E">
              <w:rPr>
                <w:sz w:val="20"/>
                <w:szCs w:val="20"/>
              </w:rPr>
              <w:t>Preferred approach: contributions kept at primary rate. Reductions may be permitted by the administering authority</w:t>
            </w:r>
          </w:p>
        </w:tc>
        <w:tc>
          <w:tcPr>
            <w:tcW w:w="1275" w:type="dxa"/>
            <w:tcMar>
              <w:left w:w="28" w:type="dxa"/>
              <w:right w:w="28" w:type="dxa"/>
            </w:tcMar>
          </w:tcPr>
          <w:p w14:paraId="4640ACBF" w14:textId="77777777" w:rsidR="00A43A5A" w:rsidRPr="005A3E97" w:rsidRDefault="00A43A5A">
            <w:pPr>
              <w:jc w:val="center"/>
              <w:rPr>
                <w:sz w:val="20"/>
                <w:szCs w:val="20"/>
              </w:rPr>
            </w:pPr>
            <w:r>
              <w:rPr>
                <w:sz w:val="20"/>
                <w:szCs w:val="20"/>
              </w:rPr>
              <w:t>Reductions applied based on low-risk funding position</w:t>
            </w:r>
          </w:p>
        </w:tc>
        <w:tc>
          <w:tcPr>
            <w:tcW w:w="1418" w:type="dxa"/>
          </w:tcPr>
          <w:p w14:paraId="3A2FFB38" w14:textId="77777777" w:rsidR="00A43A5A" w:rsidRPr="005A3E97" w:rsidRDefault="00A43A5A">
            <w:pPr>
              <w:jc w:val="center"/>
              <w:rPr>
                <w:sz w:val="20"/>
                <w:szCs w:val="20"/>
              </w:rPr>
            </w:pPr>
            <w:r w:rsidRPr="5EF0911E">
              <w:rPr>
                <w:sz w:val="20"/>
                <w:szCs w:val="20"/>
              </w:rPr>
              <w:t>Reduce contributions by spreading the surplus over the time horizon</w:t>
            </w:r>
          </w:p>
        </w:tc>
      </w:tr>
      <w:tr w:rsidR="00A43A5A" w14:paraId="5D25E7BB" w14:textId="77777777">
        <w:trPr>
          <w:trHeight w:val="300"/>
        </w:trPr>
        <w:tc>
          <w:tcPr>
            <w:tcW w:w="1418" w:type="dxa"/>
          </w:tcPr>
          <w:p w14:paraId="7BCF00AA" w14:textId="77777777" w:rsidR="00A43A5A" w:rsidRPr="007840CB" w:rsidRDefault="00A43A5A">
            <w:pPr>
              <w:rPr>
                <w:b/>
                <w:bCs/>
                <w:color w:val="61207F"/>
                <w:sz w:val="20"/>
                <w:szCs w:val="20"/>
              </w:rPr>
            </w:pPr>
            <w:r w:rsidRPr="5EF0911E">
              <w:rPr>
                <w:b/>
                <w:bCs/>
                <w:color w:val="61207F"/>
                <w:sz w:val="20"/>
                <w:szCs w:val="20"/>
              </w:rPr>
              <w:t>Recognising covenant</w:t>
            </w:r>
          </w:p>
        </w:tc>
        <w:tc>
          <w:tcPr>
            <w:tcW w:w="1276" w:type="dxa"/>
            <w:tcBorders>
              <w:top w:val="single" w:sz="4" w:space="0" w:color="auto"/>
              <w:left w:val="nil"/>
              <w:bottom w:val="single" w:sz="4" w:space="0" w:color="auto"/>
              <w:right w:val="single" w:sz="4" w:space="0" w:color="auto"/>
            </w:tcBorders>
            <w:tcMar>
              <w:left w:w="28" w:type="dxa"/>
              <w:right w:w="28" w:type="dxa"/>
            </w:tcMar>
          </w:tcPr>
          <w:p w14:paraId="4F5965F4" w14:textId="77777777" w:rsidR="00A43A5A" w:rsidRPr="005A3E97" w:rsidRDefault="00A43A5A">
            <w:pPr>
              <w:jc w:val="center"/>
              <w:rPr>
                <w:sz w:val="20"/>
                <w:szCs w:val="20"/>
              </w:rPr>
            </w:pPr>
            <w:r w:rsidRPr="5EF0911E">
              <w:rPr>
                <w:sz w:val="20"/>
                <w:szCs w:val="20"/>
              </w:rPr>
              <w:t>Stabilisation parameters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33A92692" w14:textId="77777777" w:rsidR="00A43A5A" w:rsidRPr="005A3E97" w:rsidRDefault="00A43A5A">
            <w:pPr>
              <w:jc w:val="center"/>
              <w:rPr>
                <w:sz w:val="20"/>
                <w:szCs w:val="20"/>
              </w:rPr>
            </w:pPr>
            <w:r w:rsidRPr="5EF0911E">
              <w:rPr>
                <w:sz w:val="20"/>
                <w:szCs w:val="20"/>
              </w:rPr>
              <w:t>Stabilisation parameters </w:t>
            </w:r>
          </w:p>
        </w:tc>
        <w:tc>
          <w:tcPr>
            <w:tcW w:w="1276" w:type="dxa"/>
            <w:tcBorders>
              <w:top w:val="single" w:sz="4" w:space="0" w:color="auto"/>
              <w:left w:val="single" w:sz="4" w:space="0" w:color="auto"/>
              <w:bottom w:val="single" w:sz="4" w:space="0" w:color="auto"/>
            </w:tcBorders>
            <w:tcMar>
              <w:left w:w="28" w:type="dxa"/>
              <w:right w:w="28" w:type="dxa"/>
            </w:tcMar>
          </w:tcPr>
          <w:p w14:paraId="7B397C36" w14:textId="77777777" w:rsidR="00A43A5A" w:rsidRPr="00B07F02" w:rsidRDefault="00A43A5A">
            <w:pPr>
              <w:jc w:val="center"/>
              <w:rPr>
                <w:sz w:val="20"/>
                <w:szCs w:val="20"/>
              </w:rPr>
            </w:pPr>
            <w:r w:rsidRPr="5EF0911E">
              <w:rPr>
                <w:sz w:val="20"/>
                <w:szCs w:val="20"/>
              </w:rPr>
              <w:t>Adjust likelihood of success</w:t>
            </w:r>
          </w:p>
        </w:tc>
        <w:tc>
          <w:tcPr>
            <w:tcW w:w="1417" w:type="dxa"/>
            <w:tcBorders>
              <w:top w:val="single" w:sz="4" w:space="0" w:color="auto"/>
              <w:left w:val="single" w:sz="4" w:space="0" w:color="auto"/>
              <w:bottom w:val="single" w:sz="4" w:space="0" w:color="auto"/>
            </w:tcBorders>
          </w:tcPr>
          <w:p w14:paraId="675F2744" w14:textId="77777777" w:rsidR="00A43A5A" w:rsidRPr="00B07F02" w:rsidRDefault="00A43A5A">
            <w:pPr>
              <w:jc w:val="center"/>
              <w:rPr>
                <w:sz w:val="20"/>
                <w:szCs w:val="20"/>
              </w:rPr>
            </w:pPr>
            <w:r w:rsidRPr="5EF0911E">
              <w:rPr>
                <w:sz w:val="20"/>
                <w:szCs w:val="20"/>
              </w:rPr>
              <w:t>Adjust likelihood of success</w:t>
            </w:r>
          </w:p>
        </w:tc>
        <w:tc>
          <w:tcPr>
            <w:tcW w:w="1418" w:type="dxa"/>
            <w:tcBorders>
              <w:top w:val="single" w:sz="4" w:space="0" w:color="auto"/>
              <w:left w:val="single" w:sz="4" w:space="0" w:color="auto"/>
              <w:bottom w:val="single" w:sz="4" w:space="0" w:color="auto"/>
            </w:tcBorders>
          </w:tcPr>
          <w:p w14:paraId="48723B16" w14:textId="77777777" w:rsidR="00A43A5A" w:rsidRPr="00B07F02" w:rsidRDefault="00A43A5A">
            <w:pPr>
              <w:jc w:val="center"/>
              <w:rPr>
                <w:sz w:val="20"/>
                <w:szCs w:val="20"/>
              </w:rPr>
            </w:pPr>
            <w:r w:rsidRPr="5EF0911E">
              <w:rPr>
                <w:sz w:val="20"/>
                <w:szCs w:val="20"/>
              </w:rPr>
              <w:t>Adjust likelihood of success</w:t>
            </w:r>
          </w:p>
        </w:tc>
        <w:tc>
          <w:tcPr>
            <w:tcW w:w="1275" w:type="dxa"/>
            <w:tcBorders>
              <w:top w:val="single" w:sz="4" w:space="0" w:color="auto"/>
              <w:left w:val="single" w:sz="4" w:space="0" w:color="auto"/>
              <w:bottom w:val="single" w:sz="4" w:space="0" w:color="auto"/>
            </w:tcBorders>
          </w:tcPr>
          <w:p w14:paraId="61519D99" w14:textId="77777777" w:rsidR="00A43A5A" w:rsidRPr="00B07F02" w:rsidRDefault="00A43A5A">
            <w:pPr>
              <w:jc w:val="center"/>
              <w:rPr>
                <w:sz w:val="20"/>
                <w:szCs w:val="20"/>
              </w:rPr>
            </w:pPr>
            <w:r w:rsidRPr="5EF0911E">
              <w:rPr>
                <w:sz w:val="20"/>
                <w:szCs w:val="20"/>
              </w:rPr>
              <w:t>Adjust likelihood of success</w:t>
            </w:r>
          </w:p>
        </w:tc>
        <w:tc>
          <w:tcPr>
            <w:tcW w:w="1418" w:type="dxa"/>
            <w:tcBorders>
              <w:top w:val="single" w:sz="4" w:space="0" w:color="auto"/>
              <w:left w:val="single" w:sz="4" w:space="0" w:color="auto"/>
              <w:bottom w:val="single" w:sz="4" w:space="0" w:color="auto"/>
            </w:tcBorders>
          </w:tcPr>
          <w:p w14:paraId="1317D1EC" w14:textId="77777777" w:rsidR="00A43A5A" w:rsidRPr="00B07F02" w:rsidRDefault="00A43A5A">
            <w:pPr>
              <w:jc w:val="center"/>
              <w:rPr>
                <w:sz w:val="20"/>
                <w:szCs w:val="20"/>
              </w:rPr>
            </w:pPr>
            <w:r w:rsidRPr="5EF0911E">
              <w:rPr>
                <w:sz w:val="20"/>
                <w:szCs w:val="20"/>
              </w:rPr>
              <w:t>Adjust likelihood of success</w:t>
            </w:r>
          </w:p>
        </w:tc>
      </w:tr>
      <w:tr w:rsidR="00A43A5A" w14:paraId="1F48F84B" w14:textId="77777777">
        <w:trPr>
          <w:trHeight w:val="300"/>
        </w:trPr>
        <w:tc>
          <w:tcPr>
            <w:tcW w:w="1418" w:type="dxa"/>
          </w:tcPr>
          <w:p w14:paraId="227B337C" w14:textId="77777777" w:rsidR="00A43A5A" w:rsidRPr="007840CB" w:rsidRDefault="00A43A5A">
            <w:pPr>
              <w:rPr>
                <w:b/>
                <w:bCs/>
                <w:color w:val="61207F"/>
                <w:sz w:val="20"/>
                <w:szCs w:val="20"/>
              </w:rPr>
            </w:pPr>
            <w:r w:rsidRPr="5EF0911E">
              <w:rPr>
                <w:b/>
                <w:bCs/>
                <w:color w:val="61207F"/>
                <w:sz w:val="20"/>
                <w:szCs w:val="20"/>
              </w:rPr>
              <w:t>Maximum phasing of contribution changes</w:t>
            </w:r>
          </w:p>
        </w:tc>
        <w:tc>
          <w:tcPr>
            <w:tcW w:w="1276" w:type="dxa"/>
            <w:tcBorders>
              <w:top w:val="single" w:sz="4" w:space="0" w:color="auto"/>
            </w:tcBorders>
            <w:tcMar>
              <w:left w:w="28" w:type="dxa"/>
              <w:right w:w="28" w:type="dxa"/>
            </w:tcMar>
          </w:tcPr>
          <w:p w14:paraId="6B72F1C3" w14:textId="77777777" w:rsidR="00A43A5A" w:rsidRPr="005A3E97" w:rsidRDefault="00A43A5A">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33B1BE40" w14:textId="77777777" w:rsidR="00A43A5A" w:rsidRPr="005A3E97" w:rsidRDefault="00A43A5A">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44DC7331" w14:textId="77777777" w:rsidR="00A43A5A" w:rsidRPr="005A3E97" w:rsidRDefault="00A43A5A">
            <w:pPr>
              <w:jc w:val="center"/>
              <w:rPr>
                <w:sz w:val="20"/>
                <w:szCs w:val="20"/>
              </w:rPr>
            </w:pPr>
            <w:r w:rsidRPr="5EF0911E">
              <w:rPr>
                <w:sz w:val="20"/>
                <w:szCs w:val="20"/>
              </w:rPr>
              <w:t>3 years</w:t>
            </w:r>
          </w:p>
        </w:tc>
        <w:tc>
          <w:tcPr>
            <w:tcW w:w="1417" w:type="dxa"/>
            <w:tcMar>
              <w:left w:w="28" w:type="dxa"/>
              <w:right w:w="28" w:type="dxa"/>
            </w:tcMar>
          </w:tcPr>
          <w:p w14:paraId="583C05C0" w14:textId="77777777" w:rsidR="00A43A5A" w:rsidRPr="005A3E97" w:rsidRDefault="00A43A5A">
            <w:pPr>
              <w:jc w:val="center"/>
              <w:rPr>
                <w:sz w:val="20"/>
                <w:szCs w:val="20"/>
              </w:rPr>
            </w:pPr>
            <w:r w:rsidRPr="5EF0911E">
              <w:rPr>
                <w:sz w:val="20"/>
                <w:szCs w:val="20"/>
              </w:rPr>
              <w:t>3 years</w:t>
            </w:r>
          </w:p>
        </w:tc>
        <w:tc>
          <w:tcPr>
            <w:tcW w:w="1418" w:type="dxa"/>
            <w:tcMar>
              <w:left w:w="28" w:type="dxa"/>
              <w:right w:w="28" w:type="dxa"/>
            </w:tcMar>
          </w:tcPr>
          <w:p w14:paraId="11B5869F" w14:textId="77777777" w:rsidR="00A43A5A" w:rsidRPr="005A3E97" w:rsidRDefault="00A43A5A">
            <w:pPr>
              <w:jc w:val="center"/>
              <w:rPr>
                <w:sz w:val="20"/>
                <w:szCs w:val="20"/>
              </w:rPr>
            </w:pPr>
            <w:r w:rsidRPr="5EF0911E">
              <w:rPr>
                <w:sz w:val="20"/>
                <w:szCs w:val="20"/>
              </w:rPr>
              <w:t>3 years</w:t>
            </w:r>
          </w:p>
        </w:tc>
        <w:tc>
          <w:tcPr>
            <w:tcW w:w="1275" w:type="dxa"/>
            <w:tcMar>
              <w:left w:w="28" w:type="dxa"/>
              <w:right w:w="28" w:type="dxa"/>
            </w:tcMar>
          </w:tcPr>
          <w:p w14:paraId="7BFA3C81" w14:textId="77777777" w:rsidR="00A43A5A" w:rsidRPr="005A3E97" w:rsidRDefault="00A43A5A">
            <w:pPr>
              <w:jc w:val="center"/>
              <w:rPr>
                <w:sz w:val="20"/>
                <w:szCs w:val="20"/>
              </w:rPr>
            </w:pPr>
            <w:r w:rsidRPr="5EF0911E">
              <w:rPr>
                <w:sz w:val="20"/>
                <w:szCs w:val="20"/>
              </w:rPr>
              <w:t>3 years</w:t>
            </w:r>
          </w:p>
        </w:tc>
        <w:tc>
          <w:tcPr>
            <w:tcW w:w="1418" w:type="dxa"/>
            <w:tcMar>
              <w:left w:w="28" w:type="dxa"/>
              <w:right w:w="28" w:type="dxa"/>
            </w:tcMar>
          </w:tcPr>
          <w:p w14:paraId="49F00A4A" w14:textId="77777777" w:rsidR="00A43A5A" w:rsidRPr="005A3E97" w:rsidRDefault="00A43A5A">
            <w:pPr>
              <w:jc w:val="center"/>
              <w:rPr>
                <w:sz w:val="20"/>
                <w:szCs w:val="20"/>
              </w:rPr>
            </w:pPr>
            <w:r w:rsidRPr="5EF0911E">
              <w:rPr>
                <w:sz w:val="20"/>
                <w:szCs w:val="20"/>
              </w:rPr>
              <w:t>3 years (for time horizon if less)</w:t>
            </w:r>
          </w:p>
        </w:tc>
      </w:tr>
    </w:tbl>
    <w:p w14:paraId="38DC3155" w14:textId="77777777" w:rsidR="00A43A5A" w:rsidRPr="00634895" w:rsidRDefault="00A43A5A" w:rsidP="00A43A5A">
      <w:pPr>
        <w:spacing w:after="0"/>
        <w:ind w:left="-851"/>
        <w:rPr>
          <w:rFonts w:cstheme="minorHAnsi"/>
          <w:sz w:val="20"/>
          <w:szCs w:val="20"/>
        </w:rPr>
      </w:pPr>
      <w:r w:rsidRPr="00634895">
        <w:rPr>
          <w:rFonts w:cstheme="minorHAnsi"/>
          <w:sz w:val="20"/>
          <w:szCs w:val="20"/>
        </w:rPr>
        <w:t xml:space="preserve">* Employers participating in the Fund under a pass-through agreement will pay a contribution rate agreed between the contractor and letting authority. </w:t>
      </w:r>
    </w:p>
    <w:p w14:paraId="725D552E" w14:textId="77777777" w:rsidR="00A43A5A" w:rsidRDefault="00A43A5A" w:rsidP="00A43A5A">
      <w:pPr>
        <w:spacing w:after="0"/>
        <w:ind w:left="-851"/>
        <w:rPr>
          <w:rFonts w:cstheme="minorHAnsi"/>
          <w:sz w:val="20"/>
          <w:szCs w:val="20"/>
        </w:rPr>
      </w:pPr>
      <w:r w:rsidRPr="00634895">
        <w:rPr>
          <w:rFonts w:cstheme="minorHAnsi"/>
          <w:sz w:val="20"/>
          <w:szCs w:val="20"/>
        </w:rPr>
        <w:lastRenderedPageBreak/>
        <w:t xml:space="preserve">** See </w:t>
      </w:r>
      <w:hyperlink w:anchor="_Appendix_D_–" w:history="1">
        <w:r w:rsidRPr="00E96285">
          <w:rPr>
            <w:rStyle w:val="Hyperlink"/>
            <w:rFonts w:cstheme="minorHAnsi"/>
            <w:iCs/>
          </w:rPr>
          <w:t>Appendix E</w:t>
        </w:r>
      </w:hyperlink>
      <w:r>
        <w:t xml:space="preserve"> </w:t>
      </w:r>
      <w:r w:rsidRPr="00634895">
        <w:rPr>
          <w:rFonts w:cstheme="minorHAnsi"/>
          <w:sz w:val="20"/>
          <w:szCs w:val="20"/>
        </w:rPr>
        <w:t xml:space="preserve">for further information on Funding targets. </w:t>
      </w:r>
    </w:p>
    <w:p w14:paraId="0199B49C" w14:textId="77777777" w:rsidR="00A43A5A" w:rsidRDefault="00A43A5A" w:rsidP="00A43A5A">
      <w:pPr>
        <w:spacing w:before="120" w:after="0"/>
        <w:ind w:left="-851"/>
        <w:rPr>
          <w:rFonts w:cstheme="minorHAnsi"/>
          <w:sz w:val="20"/>
          <w:szCs w:val="20"/>
        </w:rPr>
      </w:pPr>
      <w:r>
        <w:rPr>
          <w:rFonts w:cstheme="minorHAnsi"/>
          <w:sz w:val="20"/>
          <w:szCs w:val="20"/>
        </w:rPr>
        <w:t xml:space="preserve">^ </w:t>
      </w:r>
      <w:r w:rsidRPr="00C458DF">
        <w:rPr>
          <w:rFonts w:cstheme="minorHAnsi"/>
          <w:sz w:val="20"/>
          <w:szCs w:val="20"/>
        </w:rPr>
        <w:t>The contributions must be sufficient to meet the cost of benefits earned in the future with the required likelihood of success at the end of the time horizon, expressed as a percentage of pensionable pay. The Primary Rate for the whole fund is the weighted average (by payroll) of the individual employers’ primary rates.</w:t>
      </w:r>
    </w:p>
    <w:p w14:paraId="00B2718F" w14:textId="77777777" w:rsidR="00A43A5A" w:rsidRPr="00C77215" w:rsidRDefault="00A43A5A" w:rsidP="00A43A5A">
      <w:pPr>
        <w:spacing w:before="120" w:after="0"/>
        <w:ind w:left="-851"/>
        <w:rPr>
          <w:rFonts w:cstheme="minorHAnsi"/>
        </w:rPr>
      </w:pPr>
      <w:r>
        <w:rPr>
          <w:rFonts w:cstheme="minorHAnsi"/>
          <w:sz w:val="20"/>
          <w:szCs w:val="20"/>
        </w:rPr>
        <w:t xml:space="preserve">^^ </w:t>
      </w:r>
      <w:r w:rsidRPr="5EF0911E">
        <w:rPr>
          <w:sz w:val="20"/>
          <w:szCs w:val="20"/>
        </w:rPr>
        <w:t>The difference between the total contribution rate payable (determined as per 2.1) and the primary rate. Negative adjustments are expressed as a percentage of payroll and positive adjustments can be expressed as a percentage of payroll or monetary amounts (for mature closed employers).</w:t>
      </w:r>
    </w:p>
    <w:p w14:paraId="58BB26DB" w14:textId="77777777" w:rsidR="00A43A5A" w:rsidRPr="00505744" w:rsidRDefault="00A43A5A" w:rsidP="00A43A5A">
      <w:pPr>
        <w:spacing w:before="120"/>
        <w:ind w:left="-851"/>
        <w:rPr>
          <w:sz w:val="20"/>
          <w:szCs w:val="20"/>
        </w:rPr>
      </w:pPr>
      <w:r w:rsidRPr="00505744">
        <w:rPr>
          <w:sz w:val="20"/>
          <w:szCs w:val="20"/>
        </w:rPr>
        <w:t xml:space="preserve">The fund manages funding risks as part of the wider risk management framework. The funding-specific risks identified and managed by the fund are set out in </w:t>
      </w:r>
      <w:hyperlink w:anchor="AppendixE" w:history="1">
        <w:r w:rsidRPr="00505744">
          <w:rPr>
            <w:sz w:val="20"/>
            <w:szCs w:val="20"/>
          </w:rPr>
          <w:t>Appendix D – Risks and Controls</w:t>
        </w:r>
      </w:hyperlink>
      <w:r w:rsidRPr="00505744">
        <w:rPr>
          <w:sz w:val="20"/>
          <w:szCs w:val="20"/>
        </w:rPr>
        <w:t>.</w:t>
      </w:r>
    </w:p>
    <w:p w14:paraId="48BE4DD0" w14:textId="39228D28" w:rsidR="00764DE6" w:rsidRDefault="00764DE6" w:rsidP="00764DE6">
      <w:pPr>
        <w:pStyle w:val="Heading2"/>
      </w:pPr>
      <w:bookmarkStart w:id="20" w:name="_Toc194482864"/>
      <w:r>
        <w:t>2.3 Making contributions rates stable</w:t>
      </w:r>
      <w:bookmarkEnd w:id="20"/>
    </w:p>
    <w:p w14:paraId="0C4B2524" w14:textId="72F72918" w:rsidR="00764DE6" w:rsidRDefault="00764DE6" w:rsidP="00764DE6">
      <w:r>
        <w:t xml:space="preserve">Making employer contribution rates reasonably stable is an important </w:t>
      </w:r>
      <w:r w:rsidR="00AE3F19">
        <w:t>Fund</w:t>
      </w:r>
      <w:r>
        <w:t xml:space="preserve">ing objective. Where appropriate, contributions are set with this objective in mind. The </w:t>
      </w:r>
      <w:r w:rsidR="00AE3F19">
        <w:t>Fund</w:t>
      </w:r>
      <w:r>
        <w:t xml:space="preserve"> may adopt a stabilised approach to setting contributions for individual employers</w:t>
      </w:r>
      <w:r w:rsidR="006D00AB">
        <w:t>.</w:t>
      </w:r>
      <w:r>
        <w:t xml:space="preserve"> </w:t>
      </w:r>
      <w:r w:rsidR="006D00AB">
        <w:t xml:space="preserve">This </w:t>
      </w:r>
      <w:r>
        <w:t>keeps contribution variations within a pre-determined range from year-to-year.</w:t>
      </w:r>
    </w:p>
    <w:p w14:paraId="7D8DFF16" w14:textId="7E91CF9E" w:rsidR="00764DE6" w:rsidRDefault="00764DE6" w:rsidP="00764DE6">
      <w:r>
        <w:t xml:space="preserve">After taking advice from the </w:t>
      </w:r>
      <w:r w:rsidR="00AE3F19">
        <w:t>Fund</w:t>
      </w:r>
      <w:r>
        <w:t xml:space="preserve"> actuary, the administering authority believes a stabilised approach is a prudent longer-term strategy.</w:t>
      </w:r>
    </w:p>
    <w:p w14:paraId="4305647C" w14:textId="5902F28A" w:rsidR="00764DE6" w:rsidRPr="00C5521C" w:rsidRDefault="00764DE6" w:rsidP="001E179F">
      <w:pPr>
        <w:pStyle w:val="Heading3"/>
      </w:pPr>
      <w:bookmarkStart w:id="21" w:name="_Toc194482865"/>
      <w:r w:rsidRPr="00C5521C">
        <w:t>Current stabilisation approach</w:t>
      </w:r>
      <w:bookmarkEnd w:id="21"/>
    </w:p>
    <w:tbl>
      <w:tblPr>
        <w:tblStyle w:val="TableGrid"/>
        <w:tblW w:w="0" w:type="auto"/>
        <w:tblLook w:val="04A0" w:firstRow="1" w:lastRow="0" w:firstColumn="1" w:lastColumn="0" w:noHBand="0" w:noVBand="1"/>
      </w:tblPr>
      <w:tblGrid>
        <w:gridCol w:w="3107"/>
        <w:gridCol w:w="3107"/>
        <w:gridCol w:w="3108"/>
      </w:tblGrid>
      <w:tr w:rsidR="00BB103D" w14:paraId="2027786E" w14:textId="77777777" w:rsidTr="00BB103D">
        <w:tc>
          <w:tcPr>
            <w:tcW w:w="3107" w:type="dxa"/>
            <w:shd w:val="clear" w:color="auto" w:fill="244D7A"/>
          </w:tcPr>
          <w:p w14:paraId="5710FC33" w14:textId="110B5299" w:rsidR="00BB103D" w:rsidRPr="00BB103D" w:rsidRDefault="00BB103D" w:rsidP="00BB103D">
            <w:pPr>
              <w:spacing w:before="120" w:after="120"/>
              <w:rPr>
                <w:b/>
                <w:bCs/>
                <w:color w:val="FFFFFF" w:themeColor="background1"/>
              </w:rPr>
            </w:pPr>
            <w:r w:rsidRPr="00BB103D">
              <w:rPr>
                <w:b/>
                <w:bCs/>
                <w:color w:val="FFFFFF" w:themeColor="background1"/>
              </w:rPr>
              <w:t>Type of employer</w:t>
            </w:r>
          </w:p>
        </w:tc>
        <w:tc>
          <w:tcPr>
            <w:tcW w:w="3107" w:type="dxa"/>
            <w:shd w:val="clear" w:color="auto" w:fill="244D7A"/>
          </w:tcPr>
          <w:p w14:paraId="41A8092B" w14:textId="05FFF1C0" w:rsidR="00BB103D" w:rsidRPr="00BB103D" w:rsidRDefault="00BB103D" w:rsidP="00BB103D">
            <w:pPr>
              <w:spacing w:before="120" w:after="120"/>
              <w:jc w:val="center"/>
              <w:rPr>
                <w:b/>
                <w:bCs/>
                <w:color w:val="FFFFFF" w:themeColor="background1"/>
              </w:rPr>
            </w:pPr>
            <w:r w:rsidRPr="00BB103D">
              <w:rPr>
                <w:b/>
                <w:bCs/>
                <w:color w:val="FFFFFF" w:themeColor="background1"/>
              </w:rPr>
              <w:t xml:space="preserve">Councils, </w:t>
            </w:r>
            <w:r w:rsidR="00DE6721">
              <w:rPr>
                <w:b/>
                <w:bCs/>
                <w:color w:val="FFFFFF" w:themeColor="background1"/>
              </w:rPr>
              <w:t>P</w:t>
            </w:r>
            <w:r w:rsidRPr="00BB103D">
              <w:rPr>
                <w:b/>
                <w:bCs/>
                <w:color w:val="FFFFFF" w:themeColor="background1"/>
              </w:rPr>
              <w:t>olice</w:t>
            </w:r>
          </w:p>
        </w:tc>
        <w:tc>
          <w:tcPr>
            <w:tcW w:w="3108" w:type="dxa"/>
            <w:shd w:val="clear" w:color="auto" w:fill="244D7A"/>
          </w:tcPr>
          <w:p w14:paraId="66748BE3" w14:textId="20ED5E13" w:rsidR="00BB103D" w:rsidRPr="00BB103D" w:rsidRDefault="00BB103D" w:rsidP="00BB103D">
            <w:pPr>
              <w:spacing w:before="120" w:after="120"/>
              <w:jc w:val="center"/>
              <w:rPr>
                <w:b/>
                <w:bCs/>
                <w:color w:val="FFFFFF" w:themeColor="background1"/>
              </w:rPr>
            </w:pPr>
            <w:r w:rsidRPr="00BB103D">
              <w:rPr>
                <w:b/>
                <w:bCs/>
                <w:color w:val="FFFFFF" w:themeColor="background1"/>
              </w:rPr>
              <w:t>Academies</w:t>
            </w:r>
            <w:r w:rsidR="00297869">
              <w:rPr>
                <w:b/>
                <w:bCs/>
                <w:color w:val="FFFFFF" w:themeColor="background1"/>
              </w:rPr>
              <w:t xml:space="preserve"> / Colleges</w:t>
            </w:r>
          </w:p>
        </w:tc>
      </w:tr>
      <w:tr w:rsidR="00973A8E" w14:paraId="373268F4" w14:textId="77777777">
        <w:tc>
          <w:tcPr>
            <w:tcW w:w="3107" w:type="dxa"/>
          </w:tcPr>
          <w:p w14:paraId="2543DC32" w14:textId="4F1126E4" w:rsidR="00973A8E" w:rsidRPr="00BB103D" w:rsidRDefault="00973A8E" w:rsidP="00BB103D">
            <w:pPr>
              <w:spacing w:after="120"/>
              <w:rPr>
                <w:b/>
                <w:bCs/>
                <w:color w:val="61207F"/>
              </w:rPr>
            </w:pPr>
            <w:r w:rsidRPr="00BB103D">
              <w:rPr>
                <w:b/>
                <w:bCs/>
                <w:color w:val="61207F"/>
              </w:rPr>
              <w:t>Base contribution rate</w:t>
            </w:r>
          </w:p>
        </w:tc>
        <w:tc>
          <w:tcPr>
            <w:tcW w:w="3107" w:type="dxa"/>
          </w:tcPr>
          <w:p w14:paraId="51C7CC26" w14:textId="77777777" w:rsidR="00973A8E" w:rsidRPr="00B07F02" w:rsidRDefault="00973A8E" w:rsidP="00522B47">
            <w:pPr>
              <w:spacing w:after="120"/>
              <w:jc w:val="center"/>
            </w:pPr>
            <w:r w:rsidRPr="00896C89">
              <w:t>Actual 2025/26 rate shown in rates and adjustments certificate</w:t>
            </w:r>
          </w:p>
        </w:tc>
        <w:tc>
          <w:tcPr>
            <w:tcW w:w="3108" w:type="dxa"/>
          </w:tcPr>
          <w:p w14:paraId="710A6786" w14:textId="7ABDAC61" w:rsidR="00973A8E" w:rsidRPr="00B07F02" w:rsidRDefault="00973A8E" w:rsidP="00522B47">
            <w:pPr>
              <w:spacing w:after="120"/>
              <w:jc w:val="center"/>
            </w:pPr>
            <w:r w:rsidRPr="00896C89">
              <w:t>Actual 2025/26 rate shown in rates and adjustments certificate</w:t>
            </w:r>
          </w:p>
        </w:tc>
      </w:tr>
      <w:tr w:rsidR="00BB103D" w14:paraId="46EBB7B7" w14:textId="77777777" w:rsidTr="00BB103D">
        <w:tc>
          <w:tcPr>
            <w:tcW w:w="3107" w:type="dxa"/>
          </w:tcPr>
          <w:p w14:paraId="570A0F19" w14:textId="6B44C9CB" w:rsidR="00BB103D" w:rsidRPr="00BB103D" w:rsidRDefault="00BB103D" w:rsidP="00BB103D">
            <w:pPr>
              <w:spacing w:after="120"/>
              <w:rPr>
                <w:b/>
                <w:bCs/>
                <w:color w:val="61207F"/>
              </w:rPr>
            </w:pPr>
            <w:r w:rsidRPr="00BB103D">
              <w:rPr>
                <w:b/>
                <w:bCs/>
                <w:color w:val="61207F"/>
              </w:rPr>
              <w:t>Maximum contribution increase per year</w:t>
            </w:r>
          </w:p>
        </w:tc>
        <w:tc>
          <w:tcPr>
            <w:tcW w:w="3107" w:type="dxa"/>
          </w:tcPr>
          <w:p w14:paraId="37F222DA" w14:textId="5FB69089" w:rsidR="00BB103D" w:rsidRPr="00896C89" w:rsidRDefault="00BB103D" w:rsidP="00BB103D">
            <w:pPr>
              <w:spacing w:after="120"/>
              <w:jc w:val="center"/>
            </w:pPr>
            <w:r w:rsidRPr="00896C89">
              <w:t>+2% of pay</w:t>
            </w:r>
          </w:p>
        </w:tc>
        <w:tc>
          <w:tcPr>
            <w:tcW w:w="3108" w:type="dxa"/>
          </w:tcPr>
          <w:p w14:paraId="5F2FC6D5" w14:textId="7CBF770B" w:rsidR="00BB103D" w:rsidRPr="00896C89" w:rsidRDefault="00BB103D" w:rsidP="00BB103D">
            <w:pPr>
              <w:spacing w:after="120"/>
              <w:jc w:val="center"/>
            </w:pPr>
            <w:r w:rsidRPr="00896C89">
              <w:t>+1% of pay</w:t>
            </w:r>
          </w:p>
        </w:tc>
      </w:tr>
      <w:tr w:rsidR="00BB103D" w14:paraId="2C8FA18F" w14:textId="77777777" w:rsidTr="00BB103D">
        <w:tc>
          <w:tcPr>
            <w:tcW w:w="3107" w:type="dxa"/>
          </w:tcPr>
          <w:p w14:paraId="5BF3B541" w14:textId="13A005BD" w:rsidR="00BB103D" w:rsidRPr="00BB103D" w:rsidRDefault="00BB103D" w:rsidP="00BB103D">
            <w:pPr>
              <w:spacing w:after="120"/>
              <w:rPr>
                <w:b/>
                <w:bCs/>
                <w:color w:val="61207F"/>
              </w:rPr>
            </w:pPr>
            <w:r w:rsidRPr="00BB103D">
              <w:rPr>
                <w:b/>
                <w:bCs/>
                <w:color w:val="61207F"/>
              </w:rPr>
              <w:t>Maximum contribution decrease per year</w:t>
            </w:r>
          </w:p>
        </w:tc>
        <w:tc>
          <w:tcPr>
            <w:tcW w:w="3107" w:type="dxa"/>
          </w:tcPr>
          <w:p w14:paraId="2F7D6D49" w14:textId="7CC1C036" w:rsidR="00BB103D" w:rsidRPr="00896C89" w:rsidRDefault="00BB103D" w:rsidP="00BB103D">
            <w:pPr>
              <w:spacing w:after="120"/>
              <w:jc w:val="center"/>
            </w:pPr>
            <w:r w:rsidRPr="00896C89">
              <w:t>-2% of pay</w:t>
            </w:r>
          </w:p>
        </w:tc>
        <w:tc>
          <w:tcPr>
            <w:tcW w:w="3108" w:type="dxa"/>
          </w:tcPr>
          <w:p w14:paraId="79D647DB" w14:textId="6C5160CB" w:rsidR="00BB103D" w:rsidRPr="00896C89" w:rsidRDefault="00BB103D" w:rsidP="00BB103D">
            <w:pPr>
              <w:spacing w:after="120"/>
              <w:jc w:val="center"/>
            </w:pPr>
            <w:r w:rsidRPr="00896C89">
              <w:t>-1% of pay</w:t>
            </w:r>
          </w:p>
        </w:tc>
      </w:tr>
    </w:tbl>
    <w:p w14:paraId="592C6CEB" w14:textId="17ABBF5B" w:rsidR="00BB103D" w:rsidRDefault="006D00AB" w:rsidP="00BB103D">
      <w:r>
        <w:t>A</w:t>
      </w:r>
      <w:r w:rsidR="00BB103D">
        <w:t xml:space="preserve"> contribution rate modelling exercise </w:t>
      </w:r>
      <w:r w:rsidR="00041907">
        <w:t xml:space="preserve">was </w:t>
      </w:r>
      <w:r w:rsidR="00BB103D">
        <w:t>carried out in 202</w:t>
      </w:r>
      <w:r w:rsidR="003A40DC">
        <w:t>5</w:t>
      </w:r>
      <w:r w:rsidR="00BB103D">
        <w:t xml:space="preserve"> for stabilised employers</w:t>
      </w:r>
      <w:r w:rsidR="00041907">
        <w:t>.</w:t>
      </w:r>
      <w:r w:rsidR="00BB103D">
        <w:t xml:space="preserve"> </w:t>
      </w:r>
      <w:r w:rsidR="00041907">
        <w:t>This</w:t>
      </w:r>
      <w:r w:rsidR="00BB103D">
        <w:t xml:space="preserve"> determined the total maximum and minimum contribution changes permitted for each affected employer and has been discussed with each affected employer. </w:t>
      </w:r>
    </w:p>
    <w:p w14:paraId="611F7784" w14:textId="55E92D45" w:rsidR="00764DE6" w:rsidRDefault="00BB103D" w:rsidP="00BB103D">
      <w:r>
        <w:t>Stabilisation criteria and limits are reviewed during the valuation process. The administering authority may review them between valuations to respond to membership or employer changes.</w:t>
      </w:r>
    </w:p>
    <w:p w14:paraId="6D7A8748" w14:textId="4542DBD0" w:rsidR="00BB103D" w:rsidRDefault="00BB103D" w:rsidP="00BB103D">
      <w:r w:rsidRPr="00BB103D">
        <w:t xml:space="preserve">The administering authority has a policy of aiming to secure the stabilised rates for </w:t>
      </w:r>
      <w:r w:rsidR="00896C89">
        <w:t>one</w:t>
      </w:r>
      <w:r w:rsidR="00896C89" w:rsidRPr="00BB103D">
        <w:t xml:space="preserve"> </w:t>
      </w:r>
      <w:r w:rsidRPr="00BB103D">
        <w:t>year</w:t>
      </w:r>
      <w:r w:rsidR="00BC7827">
        <w:t xml:space="preserve"> </w:t>
      </w:r>
      <w:r w:rsidRPr="00BB103D">
        <w:t>after each future valuation date</w:t>
      </w:r>
      <w:r w:rsidR="00F3745F">
        <w:t>.</w:t>
      </w:r>
      <w:r w:rsidRPr="00BB103D">
        <w:t xml:space="preserve"> </w:t>
      </w:r>
      <w:r w:rsidR="00F3745F">
        <w:t xml:space="preserve">This is </w:t>
      </w:r>
      <w:r w:rsidRPr="00BB103D">
        <w:t xml:space="preserve">to provide sufficient notice to  </w:t>
      </w:r>
      <w:r w:rsidR="00F3745F">
        <w:t xml:space="preserve">the relevant </w:t>
      </w:r>
      <w:r w:rsidRPr="00BB103D">
        <w:t xml:space="preserve">employers </w:t>
      </w:r>
      <w:r w:rsidR="00F3745F">
        <w:t xml:space="preserve">about </w:t>
      </w:r>
      <w:r w:rsidRPr="00BB103D">
        <w:t>possible changes in their contribution rates. This is subject to conditions not making it unsafe to do so.</w:t>
      </w:r>
    </w:p>
    <w:p w14:paraId="341A31BA" w14:textId="77777777" w:rsidR="00D534AF" w:rsidRPr="00D534AF" w:rsidRDefault="00D534AF" w:rsidP="00D534AF">
      <w:pPr>
        <w:keepNext/>
        <w:keepLines/>
        <w:tabs>
          <w:tab w:val="center" w:pos="4513"/>
          <w:tab w:val="right" w:pos="9026"/>
        </w:tabs>
        <w:spacing w:before="240" w:after="0" w:line="240" w:lineRule="auto"/>
        <w:outlineLvl w:val="1"/>
        <w:rPr>
          <w:rFonts w:eastAsiaTheme="majorEastAsia" w:cstheme="minorHAnsi"/>
          <w:color w:val="244D7A"/>
          <w:sz w:val="24"/>
          <w:szCs w:val="26"/>
        </w:rPr>
      </w:pPr>
      <w:bookmarkStart w:id="22" w:name="_Toc194482866"/>
      <w:r w:rsidRPr="00D534AF">
        <w:rPr>
          <w:rFonts w:eastAsiaTheme="majorEastAsia" w:cstheme="minorHAnsi"/>
          <w:b/>
          <w:color w:val="244D7A"/>
          <w:sz w:val="24"/>
          <w:szCs w:val="26"/>
        </w:rPr>
        <w:t>2.4 Links to investment strategy</w:t>
      </w:r>
      <w:bookmarkEnd w:id="22"/>
    </w:p>
    <w:p w14:paraId="6BF2788C" w14:textId="77777777" w:rsidR="00D534AF" w:rsidRPr="00D534AF" w:rsidRDefault="00D534AF" w:rsidP="00D534AF">
      <w:pPr>
        <w:rPr>
          <w:rFonts w:cstheme="minorHAnsi"/>
        </w:rPr>
      </w:pPr>
      <w:r w:rsidRPr="00D534AF">
        <w:rPr>
          <w:rFonts w:cstheme="minorHAnsi"/>
        </w:rPr>
        <w:t xml:space="preserve">The Funding strategy sets out how money will be collected from employers to meet the Fund’s obligations. Contributions, assets and other income are then invested according to an investment strategy set by the administering authority. </w:t>
      </w:r>
    </w:p>
    <w:p w14:paraId="500773BE" w14:textId="2410B016" w:rsidR="00D534AF" w:rsidRPr="00D534AF" w:rsidRDefault="00D534AF" w:rsidP="00D534AF">
      <w:pPr>
        <w:rPr>
          <w:rFonts w:cstheme="minorHAnsi"/>
        </w:rPr>
      </w:pPr>
      <w:r w:rsidRPr="00D534AF">
        <w:rPr>
          <w:rFonts w:cstheme="minorHAnsi"/>
        </w:rPr>
        <w:t>The Funding and investment strategies are closely linked. The Fund must be able to pay benefits when they are due</w:t>
      </w:r>
      <w:r w:rsidR="001B4049">
        <w:rPr>
          <w:rFonts w:cstheme="minorHAnsi"/>
        </w:rPr>
        <w:t>.</w:t>
      </w:r>
      <w:r w:rsidRPr="00D534AF">
        <w:rPr>
          <w:rFonts w:cstheme="minorHAnsi"/>
        </w:rPr>
        <w:t xml:space="preserve">  </w:t>
      </w:r>
      <w:r w:rsidR="001B4049">
        <w:rPr>
          <w:rFonts w:cstheme="minorHAnsi"/>
        </w:rPr>
        <w:t>T</w:t>
      </w:r>
      <w:r w:rsidRPr="00D534AF">
        <w:rPr>
          <w:rFonts w:cstheme="minorHAnsi"/>
        </w:rPr>
        <w:t>hose payments are met from a combination of contributions (through the Funding strategy) and asset returns and income (through the investment strategy). If investment returns or income fall short the Fund won’t be able to pay benefits, so higher contributions would be required from employers.</w:t>
      </w:r>
    </w:p>
    <w:p w14:paraId="5D2FAED1" w14:textId="6C22656C" w:rsidR="00835193" w:rsidRPr="00C77215" w:rsidRDefault="00D534AF" w:rsidP="00835193">
      <w:pPr>
        <w:pStyle w:val="BodyTextGrey"/>
        <w:rPr>
          <w:rFonts w:asciiTheme="minorHAnsi" w:eastAsiaTheme="minorHAnsi" w:hAnsiTheme="minorHAnsi" w:cstheme="minorHAnsi"/>
          <w:iCs w:val="0"/>
          <w:color w:val="auto"/>
          <w:sz w:val="22"/>
          <w:szCs w:val="22"/>
        </w:rPr>
      </w:pPr>
      <w:r w:rsidRPr="001E179F">
        <w:rPr>
          <w:rFonts w:asciiTheme="minorHAnsi" w:eastAsiaTheme="minorHAnsi" w:hAnsiTheme="minorHAnsi" w:cstheme="minorHAnsi"/>
          <w:iCs w:val="0"/>
          <w:color w:val="auto"/>
          <w:sz w:val="22"/>
          <w:szCs w:val="22"/>
        </w:rPr>
        <w:lastRenderedPageBreak/>
        <w:t>The investment strategy</w:t>
      </w:r>
      <w:r w:rsidR="001B4049" w:rsidRPr="001E179F">
        <w:rPr>
          <w:rFonts w:asciiTheme="minorHAnsi" w:eastAsiaTheme="minorHAnsi" w:hAnsiTheme="minorHAnsi" w:cstheme="minorHAnsi"/>
          <w:iCs w:val="0"/>
          <w:color w:val="auto"/>
          <w:sz w:val="22"/>
          <w:szCs w:val="22"/>
        </w:rPr>
        <w:t>,</w:t>
      </w:r>
      <w:r w:rsidRPr="001E179F">
        <w:rPr>
          <w:rFonts w:asciiTheme="minorHAnsi" w:eastAsiaTheme="minorHAnsi" w:hAnsiTheme="minorHAnsi" w:cstheme="minorHAnsi"/>
          <w:iCs w:val="0"/>
          <w:color w:val="auto"/>
          <w:sz w:val="22"/>
          <w:szCs w:val="22"/>
        </w:rPr>
        <w:t xml:space="preserve"> is designed with the objective of achieving the funding objective for each employer group of the specific time horizon</w:t>
      </w:r>
      <w:r w:rsidR="00DB7CAD" w:rsidRPr="001E179F">
        <w:rPr>
          <w:rFonts w:asciiTheme="minorHAnsi" w:eastAsiaTheme="minorHAnsi" w:hAnsiTheme="minorHAnsi" w:cstheme="minorHAnsi"/>
          <w:iCs w:val="0"/>
          <w:color w:val="auto"/>
          <w:sz w:val="22"/>
          <w:szCs w:val="22"/>
        </w:rPr>
        <w:t>,</w:t>
      </w:r>
      <w:r w:rsidR="00835193">
        <w:rPr>
          <w:rFonts w:cstheme="minorHAnsi"/>
        </w:rPr>
        <w:t xml:space="preserve"> </w:t>
      </w:r>
      <w:r w:rsidR="00835193" w:rsidRPr="00C77215">
        <w:rPr>
          <w:rFonts w:asciiTheme="minorHAnsi" w:eastAsiaTheme="minorHAnsi" w:hAnsiTheme="minorHAnsi" w:cstheme="minorHAnsi"/>
          <w:iCs w:val="0"/>
          <w:color w:val="auto"/>
          <w:sz w:val="22"/>
          <w:szCs w:val="22"/>
        </w:rPr>
        <w:t>allowing for the funding position determined on an appropriate and prudent basis</w:t>
      </w:r>
      <w:r w:rsidR="00835193">
        <w:rPr>
          <w:rFonts w:asciiTheme="minorHAnsi" w:eastAsiaTheme="minorHAnsi" w:hAnsiTheme="minorHAnsi" w:cstheme="minorHAnsi"/>
          <w:iCs w:val="0"/>
          <w:color w:val="auto"/>
          <w:sz w:val="22"/>
          <w:szCs w:val="22"/>
        </w:rPr>
        <w:t>.</w:t>
      </w:r>
    </w:p>
    <w:p w14:paraId="3D53CE03" w14:textId="53B21E35" w:rsidR="00D534AF" w:rsidRDefault="00D534AF" w:rsidP="00D534AF">
      <w:pPr>
        <w:spacing w:before="20" w:after="200" w:line="280" w:lineRule="atLeast"/>
        <w:rPr>
          <w:rFonts w:cstheme="minorHAnsi"/>
        </w:rPr>
      </w:pPr>
      <w:r w:rsidRPr="00D534AF">
        <w:rPr>
          <w:rFonts w:cstheme="minorHAnsi"/>
        </w:rPr>
        <w:t xml:space="preserve">The fund’s current strategic investment strategy as at 31 March 2025 is summarised in the table, with full details available </w:t>
      </w:r>
      <w:hyperlink r:id="rId18" w:history="1">
        <w:r w:rsidR="006F2C02" w:rsidRPr="0065089F">
          <w:rPr>
            <w:rStyle w:val="Hyperlink"/>
            <w:rFonts w:cstheme="minorHAnsi"/>
          </w:rPr>
          <w:t>here</w:t>
        </w:r>
      </w:hyperlink>
      <w:r w:rsidRPr="00404684">
        <w:rPr>
          <w:rFonts w:cstheme="minorHAnsi"/>
        </w:rPr>
        <w:t>.</w:t>
      </w:r>
    </w:p>
    <w:tbl>
      <w:tblPr>
        <w:tblStyle w:val="TableGrid"/>
        <w:tblW w:w="0" w:type="auto"/>
        <w:tblLook w:val="04A0" w:firstRow="1" w:lastRow="0" w:firstColumn="1" w:lastColumn="0" w:noHBand="0" w:noVBand="1"/>
      </w:tblPr>
      <w:tblGrid>
        <w:gridCol w:w="4957"/>
        <w:gridCol w:w="1275"/>
      </w:tblGrid>
      <w:tr w:rsidR="00D534AF" w:rsidRPr="00D534AF" w14:paraId="58E6734B" w14:textId="77777777" w:rsidTr="00A237C4">
        <w:tc>
          <w:tcPr>
            <w:tcW w:w="4957" w:type="dxa"/>
          </w:tcPr>
          <w:p w14:paraId="5313100C" w14:textId="77777777" w:rsidR="00D534AF" w:rsidRPr="00BC6C94" w:rsidRDefault="00D534AF" w:rsidP="00D534AF">
            <w:pPr>
              <w:spacing w:before="20" w:after="200" w:line="280" w:lineRule="atLeast"/>
              <w:rPr>
                <w:rFonts w:eastAsia="Times New Roman" w:cstheme="minorHAnsi"/>
                <w:b/>
                <w:bCs/>
                <w:iCs/>
              </w:rPr>
            </w:pPr>
            <w:r w:rsidRPr="00BC6C94">
              <w:rPr>
                <w:rFonts w:eastAsia="Times New Roman" w:cstheme="minorHAnsi"/>
                <w:b/>
                <w:bCs/>
                <w:iCs/>
              </w:rPr>
              <w:t>Asset class</w:t>
            </w:r>
          </w:p>
        </w:tc>
        <w:tc>
          <w:tcPr>
            <w:tcW w:w="1275" w:type="dxa"/>
          </w:tcPr>
          <w:p w14:paraId="1D5B76BA" w14:textId="77777777" w:rsidR="00D534AF" w:rsidRPr="00BC6C94" w:rsidRDefault="00D534AF" w:rsidP="00BC6C94">
            <w:pPr>
              <w:spacing w:before="20" w:after="200" w:line="280" w:lineRule="atLeast"/>
              <w:jc w:val="center"/>
              <w:rPr>
                <w:rFonts w:eastAsia="Times New Roman" w:cstheme="minorHAnsi"/>
                <w:b/>
                <w:bCs/>
                <w:iCs/>
              </w:rPr>
            </w:pPr>
            <w:r w:rsidRPr="00BC6C94">
              <w:rPr>
                <w:rFonts w:eastAsia="Times New Roman" w:cstheme="minorHAnsi"/>
                <w:b/>
                <w:bCs/>
                <w:iCs/>
              </w:rPr>
              <w:t>Allocation</w:t>
            </w:r>
          </w:p>
        </w:tc>
      </w:tr>
      <w:tr w:rsidR="005D3468" w:rsidRPr="00D534AF" w14:paraId="3AD436EB" w14:textId="77777777" w:rsidTr="00BC6C94">
        <w:tc>
          <w:tcPr>
            <w:tcW w:w="4957" w:type="dxa"/>
            <w:vAlign w:val="center"/>
          </w:tcPr>
          <w:p w14:paraId="1BE1E727" w14:textId="0D89E94F"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Global equities (currency hedged)</w:t>
            </w:r>
            <w:r w:rsidRPr="00BC6C94">
              <w:rPr>
                <w:rStyle w:val="eop"/>
                <w:rFonts w:cstheme="minorHAnsi"/>
                <w:lang w:val="en-US"/>
              </w:rPr>
              <w:t>​</w:t>
            </w:r>
          </w:p>
        </w:tc>
        <w:tc>
          <w:tcPr>
            <w:tcW w:w="1275" w:type="dxa"/>
            <w:tcBorders>
              <w:top w:val="single" w:sz="2" w:space="0" w:color="44546A"/>
              <w:left w:val="single" w:sz="6" w:space="0" w:color="8F99A0"/>
              <w:bottom w:val="single" w:sz="6" w:space="0" w:color="8F99A0"/>
              <w:right w:val="single" w:sz="2" w:space="0" w:color="44546A"/>
            </w:tcBorders>
            <w:vAlign w:val="center"/>
          </w:tcPr>
          <w:p w14:paraId="446D9404" w14:textId="384405B3"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14.0%</w:t>
            </w:r>
            <w:r w:rsidRPr="00BC6C94">
              <w:rPr>
                <w:rStyle w:val="eop"/>
                <w:rFonts w:cstheme="minorHAnsi"/>
              </w:rPr>
              <w:t>​</w:t>
            </w:r>
          </w:p>
        </w:tc>
      </w:tr>
      <w:tr w:rsidR="005D3468" w:rsidRPr="00D534AF" w14:paraId="4DD8570D" w14:textId="77777777" w:rsidTr="00BC6C94">
        <w:tc>
          <w:tcPr>
            <w:tcW w:w="4957" w:type="dxa"/>
            <w:vAlign w:val="center"/>
          </w:tcPr>
          <w:p w14:paraId="7A4BAA90" w14:textId="7EC82235"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Global equities (unhedged)</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43DB444F" w14:textId="249B71A8"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28.5%</w:t>
            </w:r>
            <w:r w:rsidRPr="00BC6C94">
              <w:rPr>
                <w:rStyle w:val="eop"/>
                <w:rFonts w:cstheme="minorHAnsi"/>
                <w:lang w:val="en-US"/>
              </w:rPr>
              <w:t>​</w:t>
            </w:r>
          </w:p>
        </w:tc>
      </w:tr>
      <w:tr w:rsidR="005D3468" w:rsidRPr="00D534AF" w14:paraId="6E089DDF" w14:textId="77777777" w:rsidTr="00BC6C94">
        <w:tc>
          <w:tcPr>
            <w:tcW w:w="4957" w:type="dxa"/>
            <w:vAlign w:val="center"/>
          </w:tcPr>
          <w:p w14:paraId="7F906B14" w14:textId="5ED55964"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Private equity</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6268EAE7" w14:textId="7A63F466"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7.5%</w:t>
            </w:r>
            <w:r w:rsidRPr="00BC6C94">
              <w:rPr>
                <w:rStyle w:val="eop"/>
                <w:rFonts w:cstheme="minorHAnsi"/>
              </w:rPr>
              <w:t>​</w:t>
            </w:r>
          </w:p>
        </w:tc>
      </w:tr>
      <w:tr w:rsidR="005D3468" w:rsidRPr="00D534AF" w14:paraId="440C2E1F" w14:textId="77777777" w:rsidTr="00BC6C94">
        <w:tc>
          <w:tcPr>
            <w:tcW w:w="4957" w:type="dxa"/>
            <w:vAlign w:val="center"/>
          </w:tcPr>
          <w:p w14:paraId="5B9D5AD0" w14:textId="39D34132"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Property</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3EB1BF7F" w14:textId="1CA04A0B"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12.5%</w:t>
            </w:r>
            <w:r w:rsidRPr="00BC6C94">
              <w:rPr>
                <w:rStyle w:val="eop"/>
                <w:rFonts w:cstheme="minorHAnsi"/>
              </w:rPr>
              <w:t>​</w:t>
            </w:r>
          </w:p>
        </w:tc>
      </w:tr>
      <w:tr w:rsidR="005D3468" w:rsidRPr="00D534AF" w14:paraId="647056A3" w14:textId="77777777" w:rsidTr="00BC6C94">
        <w:tc>
          <w:tcPr>
            <w:tcW w:w="4957" w:type="dxa"/>
            <w:vAlign w:val="center"/>
          </w:tcPr>
          <w:p w14:paraId="225243F0" w14:textId="7878FC45"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Infrastructure equity (unlisted)</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49051E83" w14:textId="13EF100A"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3.75%</w:t>
            </w:r>
            <w:r w:rsidRPr="00BC6C94">
              <w:rPr>
                <w:rStyle w:val="eop"/>
                <w:rFonts w:cstheme="minorHAnsi"/>
              </w:rPr>
              <w:t>​</w:t>
            </w:r>
          </w:p>
        </w:tc>
      </w:tr>
      <w:tr w:rsidR="005D3468" w:rsidRPr="00D534AF" w14:paraId="1713B048" w14:textId="77777777" w:rsidTr="00BC6C94">
        <w:tc>
          <w:tcPr>
            <w:tcW w:w="4957" w:type="dxa"/>
            <w:vAlign w:val="center"/>
          </w:tcPr>
          <w:p w14:paraId="1F61681C" w14:textId="5472CC7D"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 xml:space="preserve">Corporate bonds </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76E3AA93" w14:textId="55470189"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0.0%</w:t>
            </w:r>
            <w:r w:rsidRPr="00BC6C94">
              <w:rPr>
                <w:rStyle w:val="eop"/>
                <w:rFonts w:cstheme="minorHAnsi"/>
              </w:rPr>
              <w:t>​</w:t>
            </w:r>
          </w:p>
        </w:tc>
      </w:tr>
      <w:tr w:rsidR="005D3468" w:rsidRPr="00D534AF" w14:paraId="4156C8FC" w14:textId="77777777" w:rsidTr="00BC6C94">
        <w:tc>
          <w:tcPr>
            <w:tcW w:w="4957" w:type="dxa"/>
            <w:vAlign w:val="center"/>
          </w:tcPr>
          <w:p w14:paraId="695E7CC4" w14:textId="531BC721"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Multi-asset credit</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68E55766" w14:textId="2012BD90"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15.0%</w:t>
            </w:r>
            <w:r w:rsidRPr="00BC6C94">
              <w:rPr>
                <w:rStyle w:val="eop"/>
                <w:rFonts w:cstheme="minorHAnsi"/>
              </w:rPr>
              <w:t>​</w:t>
            </w:r>
          </w:p>
        </w:tc>
      </w:tr>
      <w:tr w:rsidR="005D3468" w:rsidRPr="00D534AF" w14:paraId="09173716" w14:textId="77777777" w:rsidTr="00BC6C94">
        <w:tc>
          <w:tcPr>
            <w:tcW w:w="4957" w:type="dxa"/>
            <w:vAlign w:val="center"/>
          </w:tcPr>
          <w:p w14:paraId="396938B9" w14:textId="6BB31028"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Infrastructure debt</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14B1EE7F" w14:textId="09FEFA28"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3.75%</w:t>
            </w:r>
            <w:r w:rsidRPr="00BC6C94">
              <w:rPr>
                <w:rStyle w:val="eop"/>
                <w:rFonts w:cstheme="minorHAnsi"/>
              </w:rPr>
              <w:t>​</w:t>
            </w:r>
          </w:p>
        </w:tc>
      </w:tr>
      <w:tr w:rsidR="005D3468" w:rsidRPr="00D534AF" w14:paraId="538DBA78" w14:textId="77777777" w:rsidTr="00BC6C94">
        <w:tc>
          <w:tcPr>
            <w:tcW w:w="4957" w:type="dxa"/>
            <w:vAlign w:val="center"/>
          </w:tcPr>
          <w:p w14:paraId="5AA8FC44" w14:textId="4F7FC032"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Index Linked Gilts</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1FE29C2A" w14:textId="15CF96E4"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15.0%</w:t>
            </w:r>
            <w:r w:rsidRPr="00BC6C94">
              <w:rPr>
                <w:rStyle w:val="eop"/>
                <w:rFonts w:cstheme="minorHAnsi"/>
              </w:rPr>
              <w:t>​</w:t>
            </w:r>
          </w:p>
        </w:tc>
      </w:tr>
    </w:tbl>
    <w:p w14:paraId="7DA69305" w14:textId="77777777" w:rsidR="00D534AF" w:rsidRPr="00D534AF" w:rsidRDefault="00D534AF" w:rsidP="00D534AF">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23" w:name="_Toc194482867"/>
      <w:r w:rsidRPr="00D534AF">
        <w:rPr>
          <w:rFonts w:eastAsiaTheme="majorEastAsia" w:cstheme="minorHAnsi"/>
          <w:b/>
          <w:color w:val="244D7A"/>
          <w:sz w:val="24"/>
          <w:szCs w:val="26"/>
        </w:rPr>
        <w:t>2.5 Does the Funding strategy statement reflect the investment strategy?</w:t>
      </w:r>
      <w:bookmarkEnd w:id="23"/>
    </w:p>
    <w:p w14:paraId="5705F6D8" w14:textId="44F72BBF" w:rsidR="00D534AF" w:rsidRPr="00972E2C" w:rsidRDefault="00D534AF" w:rsidP="00BB103D">
      <w:pPr>
        <w:rPr>
          <w:rFonts w:cstheme="minorHAnsi"/>
          <w:iCs/>
        </w:rPr>
      </w:pPr>
      <w:r w:rsidRPr="00D534AF">
        <w:rPr>
          <w:rFonts w:cstheme="minorHAnsi"/>
          <w:iCs/>
        </w:rPr>
        <w:t>The Funding policy is consistent with the investment strategy. Future investment return expectations are set with reference to the investment strategy</w:t>
      </w:r>
      <w:r w:rsidR="002862BE">
        <w:rPr>
          <w:rFonts w:cstheme="minorHAnsi"/>
          <w:iCs/>
        </w:rPr>
        <w:t>.</w:t>
      </w:r>
      <w:r w:rsidRPr="00D534AF">
        <w:rPr>
          <w:rFonts w:cstheme="minorHAnsi"/>
          <w:iCs/>
        </w:rPr>
        <w:t xml:space="preserve"> </w:t>
      </w:r>
      <w:r w:rsidR="002862BE">
        <w:rPr>
          <w:rFonts w:cstheme="minorHAnsi"/>
          <w:iCs/>
        </w:rPr>
        <w:t>This includes</w:t>
      </w:r>
      <w:r w:rsidRPr="00D534AF">
        <w:rPr>
          <w:rFonts w:cstheme="minorHAnsi"/>
          <w:iCs/>
        </w:rPr>
        <w:t xml:space="preserve"> a margin for prudence which is </w:t>
      </w:r>
      <w:r w:rsidR="00E339EC">
        <w:rPr>
          <w:rFonts w:cstheme="minorHAnsi"/>
          <w:iCs/>
        </w:rPr>
        <w:t xml:space="preserve">in line </w:t>
      </w:r>
      <w:r w:rsidRPr="00D534AF">
        <w:rPr>
          <w:rFonts w:cstheme="minorHAnsi"/>
          <w:iCs/>
        </w:rPr>
        <w:t xml:space="preserve">with the </w:t>
      </w:r>
      <w:r w:rsidR="001D2FD5">
        <w:rPr>
          <w:rFonts w:cstheme="minorHAnsi"/>
          <w:iCs/>
        </w:rPr>
        <w:t>legal</w:t>
      </w:r>
      <w:r w:rsidR="001D2FD5" w:rsidRPr="00D534AF">
        <w:rPr>
          <w:rFonts w:cstheme="minorHAnsi"/>
          <w:iCs/>
        </w:rPr>
        <w:t xml:space="preserve"> requirement</w:t>
      </w:r>
      <w:r w:rsidRPr="00D534AF">
        <w:rPr>
          <w:rFonts w:cstheme="minorHAnsi"/>
          <w:iCs/>
        </w:rPr>
        <w:t xml:space="preserve"> that Funds take a ‘prudent longer-term view’ of Funding liabilities (see </w:t>
      </w:r>
      <w:hyperlink w:anchor="_Appendix_A_–" w:history="1">
        <w:r w:rsidRPr="00D534AF">
          <w:rPr>
            <w:rFonts w:cstheme="minorHAnsi"/>
            <w:iCs/>
            <w:color w:val="0563C1" w:themeColor="hyperlink"/>
            <w:u w:val="single"/>
          </w:rPr>
          <w:t>Appendix A</w:t>
        </w:r>
      </w:hyperlink>
      <w:r w:rsidRPr="00D534AF">
        <w:rPr>
          <w:rFonts w:cstheme="minorHAnsi"/>
          <w:iCs/>
        </w:rPr>
        <w:t>)</w:t>
      </w:r>
    </w:p>
    <w:p w14:paraId="7302B1A6" w14:textId="0D25F642" w:rsidR="00BB103D" w:rsidRDefault="00BB103D" w:rsidP="00BB103D">
      <w:pPr>
        <w:pStyle w:val="Heading2"/>
      </w:pPr>
      <w:bookmarkStart w:id="24" w:name="_Toc194482868"/>
      <w:r>
        <w:t>2.</w:t>
      </w:r>
      <w:r w:rsidR="00972E2C">
        <w:t>6</w:t>
      </w:r>
      <w:r>
        <w:t xml:space="preserve"> Reviewing contributions between valuations</w:t>
      </w:r>
      <w:bookmarkEnd w:id="24"/>
    </w:p>
    <w:p w14:paraId="71B75085" w14:textId="3B436188" w:rsidR="00BB103D" w:rsidRDefault="00BB103D" w:rsidP="00BB103D">
      <w:r w:rsidRPr="00BB103D">
        <w:t xml:space="preserve">The </w:t>
      </w:r>
      <w:r w:rsidR="00AE3F19">
        <w:t>Fund</w:t>
      </w:r>
      <w:r w:rsidRPr="00BB103D">
        <w:t xml:space="preserve"> may amend contribution rates between formal valuations, in line with its policy on contribution reviews. </w:t>
      </w:r>
      <w:r w:rsidR="009C06D9">
        <w:t xml:space="preserve">The fund’s policy is </w:t>
      </w:r>
      <w:r w:rsidR="009C06D9" w:rsidRPr="00404684">
        <w:t xml:space="preserve">available in </w:t>
      </w:r>
      <w:r w:rsidR="00554DBB" w:rsidRPr="00404684">
        <w:t xml:space="preserve">the </w:t>
      </w:r>
      <w:hyperlink r:id="rId19" w:history="1">
        <w:r w:rsidR="00E936FA" w:rsidRPr="00404684">
          <w:rPr>
            <w:rStyle w:val="Hyperlink"/>
          </w:rPr>
          <w:t>Review o</w:t>
        </w:r>
        <w:r w:rsidR="00E92972" w:rsidRPr="00404684">
          <w:rPr>
            <w:rStyle w:val="Hyperlink"/>
          </w:rPr>
          <w:t>f Contribution Rates policy</w:t>
        </w:r>
      </w:hyperlink>
      <w:r w:rsidR="009C06D9" w:rsidRPr="00404684">
        <w:t>.</w:t>
      </w:r>
      <w:r w:rsidR="009C06D9">
        <w:t xml:space="preserve"> The purpose of any review is to establish the most appropriate contributions</w:t>
      </w:r>
      <w:r w:rsidRPr="00BB103D">
        <w:t>. A review may lead to an increase or decrease in contributions</w:t>
      </w:r>
      <w:r>
        <w:t>.</w:t>
      </w:r>
    </w:p>
    <w:p w14:paraId="11814F9B" w14:textId="53B96053" w:rsidR="00BB103D" w:rsidRDefault="00BB103D" w:rsidP="00BB103D">
      <w:pPr>
        <w:pStyle w:val="Heading2"/>
      </w:pPr>
      <w:bookmarkStart w:id="25" w:name="_Toc194482869"/>
      <w:r>
        <w:t>2.</w:t>
      </w:r>
      <w:r w:rsidR="00972E2C">
        <w:t>7</w:t>
      </w:r>
      <w:r>
        <w:t xml:space="preserve"> What is pooling?</w:t>
      </w:r>
      <w:bookmarkEnd w:id="25"/>
    </w:p>
    <w:p w14:paraId="147AB657" w14:textId="5956221D" w:rsidR="00BB103D" w:rsidRDefault="00BB103D" w:rsidP="00BB103D">
      <w:r>
        <w:t xml:space="preserve">The administering authority operates </w:t>
      </w:r>
      <w:r w:rsidR="00B476C1">
        <w:t>f</w:t>
      </w:r>
      <w:r w:rsidR="00AE3F19">
        <w:t>und</w:t>
      </w:r>
      <w:r>
        <w:t>ing pools for similar types of employers. Contribution rates can be volatile for smaller employers that are more sensitive to individual membership changes</w:t>
      </w:r>
      <w:r w:rsidR="00B95139">
        <w:t>.</w:t>
      </w:r>
      <w:r>
        <w:t xml:space="preserve"> </w:t>
      </w:r>
      <w:r w:rsidR="00405838">
        <w:t>P</w:t>
      </w:r>
      <w:r>
        <w:t xml:space="preserve">ooling across a group of employers minimises this. </w:t>
      </w:r>
    </w:p>
    <w:p w14:paraId="42B1F472" w14:textId="24EBE60E" w:rsidR="00BB103D" w:rsidRDefault="00834786" w:rsidP="00BB103D">
      <w:r>
        <w:t>With the exception of academies (see below), e</w:t>
      </w:r>
      <w:r w:rsidR="00BB103D">
        <w:t xml:space="preserve">mployers in a pool maintain their individual </w:t>
      </w:r>
      <w:r w:rsidR="00BA16E7">
        <w:t>f</w:t>
      </w:r>
      <w:r w:rsidR="00AE3F19">
        <w:t>und</w:t>
      </w:r>
      <w:r w:rsidR="00BB103D">
        <w:t xml:space="preserve">ing positions, tracked by the </w:t>
      </w:r>
      <w:r w:rsidR="00AE3F19">
        <w:t>Fund</w:t>
      </w:r>
      <w:r w:rsidR="00BB103D">
        <w:t xml:space="preserve"> actuary. That means some employers may be better </w:t>
      </w:r>
      <w:r w:rsidR="00966368">
        <w:t>f</w:t>
      </w:r>
      <w:r w:rsidR="00AE3F19">
        <w:t>und</w:t>
      </w:r>
      <w:r w:rsidR="00BB103D">
        <w:t xml:space="preserve">ed or more poorly </w:t>
      </w:r>
      <w:r w:rsidR="00BA16E7">
        <w:t>f</w:t>
      </w:r>
      <w:r w:rsidR="00AE3F19">
        <w:t>und</w:t>
      </w:r>
      <w:r w:rsidR="00BB103D">
        <w:t xml:space="preserve">ed than the pool average. If pooled employers used stand-alone </w:t>
      </w:r>
      <w:r w:rsidR="00BA16E7">
        <w:t>f</w:t>
      </w:r>
      <w:r w:rsidR="00AE3F19">
        <w:t>und</w:t>
      </w:r>
      <w:r w:rsidR="00BB103D">
        <w:t>ing rather than pooling, their contribution rates could be higher or lower than the pool rate.</w:t>
      </w:r>
    </w:p>
    <w:p w14:paraId="6306AF35" w14:textId="2C20B09A" w:rsidR="00BB103D" w:rsidRDefault="00BB103D" w:rsidP="00BB103D">
      <w:r>
        <w:t xml:space="preserve">If an employer leaves the </w:t>
      </w:r>
      <w:r w:rsidR="00AE3F19">
        <w:t>Fund</w:t>
      </w:r>
      <w:r>
        <w:t xml:space="preserve">, the required contributions are based on their own </w:t>
      </w:r>
      <w:r w:rsidR="007179AA">
        <w:t>f</w:t>
      </w:r>
      <w:r w:rsidR="00AE3F19">
        <w:t>und</w:t>
      </w:r>
      <w:r>
        <w:t>ing position rather than the pool average. Cessation terms also apply, which means higher contributions may be required at that point.</w:t>
      </w:r>
    </w:p>
    <w:p w14:paraId="6AD5D57F" w14:textId="52017A59" w:rsidR="00834786" w:rsidRDefault="007179AA" w:rsidP="00BB103D">
      <w:r>
        <w:lastRenderedPageBreak/>
        <w:t xml:space="preserve">Academies are pooled </w:t>
      </w:r>
      <w:r w:rsidR="00786846">
        <w:t xml:space="preserve">at </w:t>
      </w:r>
      <w:r w:rsidR="00405838">
        <w:t>Trust</w:t>
      </w:r>
      <w:r w:rsidR="00786846">
        <w:t xml:space="preserve"> level. All academies within a </w:t>
      </w:r>
      <w:r w:rsidR="00C705F9">
        <w:t>Multi Academy Trust (</w:t>
      </w:r>
      <w:r w:rsidR="00786846">
        <w:t>MAT</w:t>
      </w:r>
      <w:r w:rsidR="00C705F9">
        <w:t>)</w:t>
      </w:r>
      <w:r w:rsidR="00786846">
        <w:t xml:space="preserve"> pay the same contribution rate and a common funding level across the MAT applies.  </w:t>
      </w:r>
      <w:r w:rsidR="00A2198A">
        <w:t xml:space="preserve">If an academy leaves the Fund (or transfers from </w:t>
      </w:r>
      <w:r w:rsidR="00DC158E">
        <w:t xml:space="preserve">one </w:t>
      </w:r>
      <w:r w:rsidR="00A2198A">
        <w:t>MAT to another MAT</w:t>
      </w:r>
      <w:r w:rsidR="00DC158E">
        <w:t xml:space="preserve"> within the Fund</w:t>
      </w:r>
      <w:r w:rsidR="00A2198A">
        <w:t xml:space="preserve">) </w:t>
      </w:r>
      <w:r w:rsidR="00DC158E">
        <w:t>all liabilities attributed to that academy</w:t>
      </w:r>
      <w:r w:rsidR="006B36BC">
        <w:t xml:space="preserve"> </w:t>
      </w:r>
      <w:r w:rsidR="00DC158E">
        <w:t>will transfer</w:t>
      </w:r>
      <w:r w:rsidR="00966368">
        <w:t xml:space="preserve"> from the MAT along with assets based on the funding level of the MAT.</w:t>
      </w:r>
      <w:r w:rsidR="00BE296C">
        <w:t xml:space="preserve"> This includes deferred and pensioner liabilities in respect of former staff.</w:t>
      </w:r>
      <w:r w:rsidR="00834786">
        <w:t>Pooled employers are identified in the rates and adjustments certificate and only have their pooled contributions certified. Individual contribution rates aren’t disclosed to pooled employers, unless agreed by the administering authority.</w:t>
      </w:r>
    </w:p>
    <w:p w14:paraId="167D3696" w14:textId="1FB6EE8E" w:rsidR="00DC787E" w:rsidRDefault="00DC787E" w:rsidP="00DC787E">
      <w:pPr>
        <w:pStyle w:val="Heading2"/>
      </w:pPr>
      <w:bookmarkStart w:id="26" w:name="_Toc194482870"/>
      <w:r>
        <w:t>2.</w:t>
      </w:r>
      <w:r w:rsidR="0052623A">
        <w:t>8</w:t>
      </w:r>
      <w:r>
        <w:t xml:space="preserve"> What are the current contribution pools?</w:t>
      </w:r>
      <w:bookmarkEnd w:id="26"/>
    </w:p>
    <w:p w14:paraId="6BE0E01D" w14:textId="5A8F3A03" w:rsidR="009C06D9" w:rsidRPr="00551846" w:rsidRDefault="009C06D9" w:rsidP="00DC787E">
      <w:pPr>
        <w:pStyle w:val="ListParagraph"/>
        <w:numPr>
          <w:ilvl w:val="0"/>
          <w:numId w:val="26"/>
        </w:numPr>
      </w:pPr>
      <w:r w:rsidRPr="00551846">
        <w:rPr>
          <w:b/>
          <w:bCs/>
        </w:rPr>
        <w:t>Academies</w:t>
      </w:r>
      <w:r w:rsidRPr="00551846">
        <w:t xml:space="preserve"> – </w:t>
      </w:r>
      <w:r w:rsidR="00334C14" w:rsidRPr="00551846">
        <w:t>the fund operate</w:t>
      </w:r>
      <w:r w:rsidR="006F2C02" w:rsidRPr="00551846">
        <w:t>s</w:t>
      </w:r>
      <w:r w:rsidR="00334C14" w:rsidRPr="00551846">
        <w:t xml:space="preserve"> pool</w:t>
      </w:r>
      <w:r w:rsidR="00625BB6" w:rsidRPr="00551846">
        <w:t xml:space="preserve">ing at </w:t>
      </w:r>
      <w:r w:rsidR="003301EA">
        <w:t>Trust</w:t>
      </w:r>
      <w:r w:rsidR="003301EA" w:rsidRPr="00551846">
        <w:t xml:space="preserve"> level</w:t>
      </w:r>
      <w:r w:rsidR="00625BB6" w:rsidRPr="00551846">
        <w:t xml:space="preserve">, </w:t>
      </w:r>
      <w:r w:rsidR="00132FDF" w:rsidRPr="00551846">
        <w:t xml:space="preserve">where </w:t>
      </w:r>
      <w:r w:rsidR="002618E8" w:rsidRPr="00551846">
        <w:t xml:space="preserve">a single contribution rate is payable by all academies within a MAT pool and all funding risks across academies within a MAT </w:t>
      </w:r>
      <w:r w:rsidR="00625BB6" w:rsidRPr="00551846">
        <w:t xml:space="preserve">pool </w:t>
      </w:r>
      <w:r w:rsidR="002618E8" w:rsidRPr="00551846">
        <w:t>are shared across all other employers</w:t>
      </w:r>
      <w:r w:rsidR="000058FD" w:rsidRPr="00551846">
        <w:t xml:space="preserve"> in that pool</w:t>
      </w:r>
      <w:r w:rsidR="00625BB6" w:rsidRPr="00551846">
        <w:t>.</w:t>
      </w:r>
      <w:r w:rsidR="00B07F02" w:rsidRPr="00551846" w:rsidDel="00B07F02">
        <w:t xml:space="preserve"> </w:t>
      </w:r>
    </w:p>
    <w:p w14:paraId="4132B708" w14:textId="63CA886E" w:rsidR="00DC787E" w:rsidRDefault="00DC787E" w:rsidP="00DC787E">
      <w:pPr>
        <w:pStyle w:val="ListParagraph"/>
        <w:numPr>
          <w:ilvl w:val="0"/>
          <w:numId w:val="26"/>
        </w:numPr>
      </w:pPr>
      <w:r w:rsidRPr="00DC787E">
        <w:rPr>
          <w:b/>
          <w:bCs/>
        </w:rPr>
        <w:t>Town and Parish Councils</w:t>
      </w:r>
      <w:r>
        <w:t xml:space="preserve"> – sharing experience for contribution rate purposes to smooth the effects of costly but rare events like deaths in service.</w:t>
      </w:r>
    </w:p>
    <w:p w14:paraId="2E009F16" w14:textId="008CFB15" w:rsidR="00DC787E" w:rsidRDefault="00DC787E" w:rsidP="00A237C4">
      <w:pPr>
        <w:pStyle w:val="ListParagraph"/>
        <w:numPr>
          <w:ilvl w:val="0"/>
          <w:numId w:val="26"/>
        </w:numPr>
      </w:pPr>
      <w:r w:rsidRPr="00DC787E">
        <w:rPr>
          <w:b/>
          <w:bCs/>
        </w:rPr>
        <w:t>Locally Maintained Schools</w:t>
      </w:r>
      <w:r>
        <w:t xml:space="preserve"> – generally pool</w:t>
      </w:r>
      <w:r w:rsidR="00E20078">
        <w:t>ed</w:t>
      </w:r>
      <w:r>
        <w:t xml:space="preserve"> with their </w:t>
      </w:r>
      <w:r w:rsidR="00AE3F19">
        <w:t>Fund</w:t>
      </w:r>
      <w:r>
        <w:t>ing council, although there may be exceptions for specialist or independent schools.</w:t>
      </w:r>
    </w:p>
    <w:p w14:paraId="18BAE2EB" w14:textId="5A2559C2" w:rsidR="00DC787E" w:rsidRDefault="00DC787E" w:rsidP="00A237C4">
      <w:pPr>
        <w:pStyle w:val="ListParagraph"/>
        <w:numPr>
          <w:ilvl w:val="0"/>
          <w:numId w:val="26"/>
        </w:numPr>
      </w:pPr>
      <w:r w:rsidRPr="00DC787E">
        <w:rPr>
          <w:b/>
          <w:bCs/>
        </w:rPr>
        <w:t>Smaller TABs</w:t>
      </w:r>
      <w:r>
        <w:t xml:space="preserve"> – may be pooled with the letting employer.</w:t>
      </w:r>
      <w:r w:rsidR="00275C3A">
        <w:t xml:space="preserve"> </w:t>
      </w:r>
    </w:p>
    <w:p w14:paraId="07294A6E" w14:textId="3B724F37" w:rsidR="00DC787E" w:rsidRDefault="00DC787E" w:rsidP="00DC787E">
      <w:pPr>
        <w:pStyle w:val="Heading2"/>
      </w:pPr>
      <w:bookmarkStart w:id="27" w:name="_Toc194482871"/>
      <w:r>
        <w:t>2.</w:t>
      </w:r>
      <w:r w:rsidR="00417B40">
        <w:t>9</w:t>
      </w:r>
      <w:r>
        <w:t xml:space="preserve"> Administering authority d</w:t>
      </w:r>
      <w:r w:rsidR="0062763E">
        <w:t>iscretion</w:t>
      </w:r>
      <w:bookmarkEnd w:id="27"/>
    </w:p>
    <w:p w14:paraId="174749B4" w14:textId="1BF95216" w:rsidR="00DC787E" w:rsidRDefault="00DC787E" w:rsidP="00DC787E">
      <w:r>
        <w:t xml:space="preserve">Individual employers may be affected by circumstances not easily managed within the FSS rules and policies. If this happens, the administering authority may adopt alternative </w:t>
      </w:r>
      <w:r w:rsidR="00AE3F19">
        <w:t>Fund</w:t>
      </w:r>
      <w:r>
        <w:t xml:space="preserve">ing approaches on a case-by-case basis. </w:t>
      </w:r>
    </w:p>
    <w:p w14:paraId="24E333E4" w14:textId="77777777" w:rsidR="00DC787E" w:rsidRDefault="00DC787E" w:rsidP="00DC787E">
      <w: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Default="00DC787E" w:rsidP="00DC787E">
      <w:r>
        <w:t xml:space="preserve">The </w:t>
      </w:r>
      <w:r w:rsidR="00AE3F19">
        <w:t>Fund</w:t>
      </w:r>
      <w:r>
        <w:t xml:space="preserve"> permits the prepayment of employer contributions in specific circumstances. However, in general, this is most appropriate for the </w:t>
      </w:r>
      <w:r w:rsidR="00AE3F19">
        <w:t>Fund</w:t>
      </w:r>
      <w:r>
        <w:t>’s large, secure employers with stable active membership.</w:t>
      </w:r>
    </w:p>
    <w:p w14:paraId="75527DF3" w14:textId="43B16E37" w:rsidR="007A24AA" w:rsidRPr="00932A11" w:rsidRDefault="007A24AA" w:rsidP="007A24AA">
      <w:pPr>
        <w:pStyle w:val="Heading2"/>
        <w:rPr>
          <w:rFonts w:asciiTheme="minorHAnsi" w:hAnsiTheme="minorHAnsi" w:cstheme="minorHAnsi"/>
          <w:b w:val="0"/>
        </w:rPr>
      </w:pPr>
      <w:bookmarkStart w:id="28" w:name="_Toc194482872"/>
      <w:r w:rsidRPr="00932A11">
        <w:rPr>
          <w:rFonts w:asciiTheme="minorHAnsi" w:hAnsiTheme="minorHAnsi" w:cstheme="minorHAnsi"/>
        </w:rPr>
        <w:t>2.10 Non</w:t>
      </w:r>
      <w:r w:rsidR="00E20078">
        <w:rPr>
          <w:rFonts w:asciiTheme="minorHAnsi" w:hAnsiTheme="minorHAnsi" w:cstheme="minorHAnsi"/>
        </w:rPr>
        <w:t>-</w:t>
      </w:r>
      <w:r w:rsidRPr="00932A11">
        <w:rPr>
          <w:rFonts w:asciiTheme="minorHAnsi" w:hAnsiTheme="minorHAnsi" w:cstheme="minorHAnsi"/>
        </w:rPr>
        <w:t>cash funding</w:t>
      </w:r>
      <w:bookmarkEnd w:id="28"/>
      <w:r w:rsidRPr="00932A11">
        <w:rPr>
          <w:rFonts w:asciiTheme="minorHAnsi" w:hAnsiTheme="minorHAnsi" w:cstheme="minorHAnsi"/>
        </w:rPr>
        <w:t> </w:t>
      </w:r>
    </w:p>
    <w:p w14:paraId="0E7ACC0C" w14:textId="48DC2D70" w:rsidR="009C06D9" w:rsidRPr="00C47DAB" w:rsidRDefault="00786764" w:rsidP="009C06D9">
      <w:pPr>
        <w:pStyle w:val="paragraph"/>
        <w:spacing w:before="0" w:beforeAutospacing="0" w:after="0" w:afterAutospacing="0"/>
        <w:textAlignment w:val="baseline"/>
        <w:rPr>
          <w:rFonts w:asciiTheme="minorHAnsi" w:eastAsiaTheme="minorHAnsi" w:hAnsiTheme="minorHAnsi" w:cstheme="minorHAnsi"/>
          <w:sz w:val="22"/>
          <w:szCs w:val="22"/>
          <w:lang w:eastAsia="en-US"/>
        </w:rPr>
      </w:pPr>
      <w:r w:rsidRPr="00C47DAB">
        <w:rPr>
          <w:rFonts w:asciiTheme="minorHAnsi" w:eastAsiaTheme="minorHAnsi" w:hAnsiTheme="minorHAnsi" w:cstheme="minorHAnsi"/>
          <w:sz w:val="22"/>
          <w:szCs w:val="22"/>
          <w:lang w:eastAsia="en-US"/>
        </w:rPr>
        <w:t xml:space="preserve">The Fund would normally expect </w:t>
      </w:r>
      <w:r w:rsidR="00767932" w:rsidRPr="00C47DAB">
        <w:rPr>
          <w:rFonts w:asciiTheme="minorHAnsi" w:eastAsiaTheme="minorHAnsi" w:hAnsiTheme="minorHAnsi" w:cstheme="minorHAnsi"/>
          <w:sz w:val="22"/>
          <w:szCs w:val="22"/>
          <w:lang w:eastAsia="en-US"/>
        </w:rPr>
        <w:t xml:space="preserve">contributions to be paid in cash. </w:t>
      </w:r>
      <w:r w:rsidR="00E20078">
        <w:rPr>
          <w:rFonts w:asciiTheme="minorHAnsi" w:eastAsiaTheme="minorHAnsi" w:hAnsiTheme="minorHAnsi" w:cstheme="minorHAnsi"/>
          <w:sz w:val="22"/>
          <w:szCs w:val="22"/>
          <w:lang w:eastAsia="en-US"/>
        </w:rPr>
        <w:t xml:space="preserve">However, </w:t>
      </w:r>
      <w:r w:rsidR="007A24AA" w:rsidRPr="00C47DAB">
        <w:rPr>
          <w:rFonts w:asciiTheme="minorHAnsi" w:eastAsiaTheme="minorHAnsi" w:hAnsiTheme="minorHAnsi" w:cstheme="minorHAnsi"/>
          <w:sz w:val="22"/>
          <w:szCs w:val="22"/>
          <w:lang w:eastAsia="en-US"/>
        </w:rPr>
        <w:t xml:space="preserve">the Fund will consider </w:t>
      </w:r>
      <w:r w:rsidR="007332F7" w:rsidRPr="00C47DAB">
        <w:rPr>
          <w:rFonts w:asciiTheme="minorHAnsi" w:eastAsiaTheme="minorHAnsi" w:hAnsiTheme="minorHAnsi" w:cstheme="minorHAnsi"/>
          <w:sz w:val="22"/>
          <w:szCs w:val="22"/>
          <w:lang w:eastAsia="en-US"/>
        </w:rPr>
        <w:t xml:space="preserve"> a</w:t>
      </w:r>
      <w:r w:rsidR="00E20078">
        <w:rPr>
          <w:rFonts w:asciiTheme="minorHAnsi" w:eastAsiaTheme="minorHAnsi" w:hAnsiTheme="minorHAnsi" w:cstheme="minorHAnsi"/>
          <w:sz w:val="22"/>
          <w:szCs w:val="22"/>
          <w:lang w:eastAsia="en-US"/>
        </w:rPr>
        <w:t>ny</w:t>
      </w:r>
      <w:r w:rsidR="007332F7" w:rsidRPr="00C47DAB">
        <w:rPr>
          <w:rFonts w:asciiTheme="minorHAnsi" w:eastAsiaTheme="minorHAnsi" w:hAnsiTheme="minorHAnsi" w:cstheme="minorHAnsi"/>
          <w:sz w:val="22"/>
          <w:szCs w:val="22"/>
          <w:lang w:eastAsia="en-US"/>
        </w:rPr>
        <w:t xml:space="preserve"> </w:t>
      </w:r>
      <w:r w:rsidR="007A24AA" w:rsidRPr="00C47DAB">
        <w:rPr>
          <w:rFonts w:asciiTheme="minorHAnsi" w:eastAsiaTheme="minorHAnsi" w:hAnsiTheme="minorHAnsi" w:cstheme="minorHAnsi"/>
          <w:sz w:val="22"/>
          <w:szCs w:val="22"/>
          <w:lang w:eastAsia="en-US"/>
        </w:rPr>
        <w:t>request</w:t>
      </w:r>
      <w:r w:rsidR="00E20078">
        <w:rPr>
          <w:rFonts w:asciiTheme="minorHAnsi" w:eastAsiaTheme="minorHAnsi" w:hAnsiTheme="minorHAnsi" w:cstheme="minorHAnsi"/>
          <w:sz w:val="22"/>
          <w:szCs w:val="22"/>
          <w:lang w:eastAsia="en-US"/>
        </w:rPr>
        <w:t>s</w:t>
      </w:r>
      <w:r w:rsidR="007A24AA" w:rsidRPr="00C47DAB">
        <w:rPr>
          <w:rFonts w:asciiTheme="minorHAnsi" w:eastAsiaTheme="minorHAnsi" w:hAnsiTheme="minorHAnsi" w:cstheme="minorHAnsi"/>
          <w:sz w:val="22"/>
          <w:szCs w:val="22"/>
          <w:lang w:eastAsia="en-US"/>
        </w:rPr>
        <w:t xml:space="preserve"> </w:t>
      </w:r>
      <w:r w:rsidR="00A04739" w:rsidRPr="00A04739">
        <w:rPr>
          <w:rFonts w:asciiTheme="minorHAnsi" w:eastAsiaTheme="minorHAnsi" w:hAnsiTheme="minorHAnsi" w:cstheme="minorHAnsi"/>
          <w:sz w:val="22"/>
          <w:szCs w:val="22"/>
          <w:lang w:eastAsia="en-US"/>
        </w:rPr>
        <w:t xml:space="preserve">for non-cash assets instead of contributions. Any decision will be </w:t>
      </w:r>
      <w:r w:rsidR="007A24AA" w:rsidRPr="00C47DAB">
        <w:rPr>
          <w:rFonts w:asciiTheme="minorHAnsi" w:eastAsiaTheme="minorHAnsi" w:hAnsiTheme="minorHAnsi" w:cstheme="minorHAnsi"/>
          <w:sz w:val="22"/>
          <w:szCs w:val="22"/>
          <w:lang w:eastAsia="en-US"/>
        </w:rPr>
        <w:t xml:space="preserve">based on specialist </w:t>
      </w:r>
      <w:r w:rsidR="0054361E" w:rsidRPr="00C47DAB">
        <w:rPr>
          <w:rFonts w:asciiTheme="minorHAnsi" w:eastAsiaTheme="minorHAnsi" w:hAnsiTheme="minorHAnsi" w:cstheme="minorHAnsi"/>
          <w:sz w:val="22"/>
          <w:szCs w:val="22"/>
          <w:lang w:eastAsia="en-US"/>
        </w:rPr>
        <w:t>advice and</w:t>
      </w:r>
      <w:r w:rsidR="007A24AA" w:rsidRPr="00C47DAB">
        <w:rPr>
          <w:rFonts w:asciiTheme="minorHAnsi" w:eastAsiaTheme="minorHAnsi" w:hAnsiTheme="minorHAnsi" w:cstheme="minorHAnsi"/>
          <w:sz w:val="22"/>
          <w:szCs w:val="22"/>
          <w:lang w:eastAsia="en-US"/>
        </w:rPr>
        <w:t xml:space="preserve"> take steps to manage any conflict of interest that may arise. </w:t>
      </w:r>
    </w:p>
    <w:p w14:paraId="3700D2AA" w14:textId="77777777" w:rsidR="007A24AA" w:rsidRPr="00932A11" w:rsidRDefault="007A24AA" w:rsidP="007A24AA">
      <w:pPr>
        <w:pStyle w:val="Heading2"/>
        <w:rPr>
          <w:rFonts w:asciiTheme="minorHAnsi" w:hAnsiTheme="minorHAnsi" w:cstheme="minorHAnsi"/>
          <w:b w:val="0"/>
        </w:rPr>
      </w:pPr>
      <w:bookmarkStart w:id="29" w:name="_Toc194482873"/>
      <w:r w:rsidRPr="00932A11">
        <w:rPr>
          <w:rFonts w:asciiTheme="minorHAnsi" w:hAnsiTheme="minorHAnsi" w:cstheme="minorHAnsi"/>
        </w:rPr>
        <w:t>2.11 Managing surpluses and deficits</w:t>
      </w:r>
      <w:bookmarkEnd w:id="29"/>
      <w:r w:rsidRPr="00932A11">
        <w:rPr>
          <w:rFonts w:asciiTheme="minorHAnsi" w:hAnsiTheme="minorHAnsi" w:cstheme="minorHAnsi"/>
        </w:rPr>
        <w:t>  </w:t>
      </w:r>
    </w:p>
    <w:p w14:paraId="2B55E2A4" w14:textId="2E403047" w:rsidR="006570B1" w:rsidRDefault="007A24AA" w:rsidP="00130237">
      <w:r w:rsidRPr="00932A11">
        <w:rPr>
          <w:rFonts w:cstheme="minorHAnsi"/>
        </w:rPr>
        <w:t>The funding strategy is designed to ensure that all employers are at least fully funded on a prudent basis at the end of their own specific time horizon. </w:t>
      </w:r>
      <w:r w:rsidR="004F2793" w:rsidRPr="004F2793">
        <w:rPr>
          <w:rFonts w:cstheme="minorHAnsi"/>
        </w:rPr>
        <w:t>Changes in funding positions (surplus or deficit) are inevitable over the time horizon. This is due to market movements and changing asset values.</w:t>
      </w:r>
      <w:r w:rsidRPr="00932A11">
        <w:rPr>
          <w:rFonts w:cstheme="minorHAnsi"/>
        </w:rPr>
        <w:t xml:space="preserve"> </w:t>
      </w:r>
      <w:r w:rsidRPr="009C06D9">
        <w:t>The funding strategy recognises this by</w:t>
      </w:r>
      <w:r w:rsidR="006570B1">
        <w:t>:</w:t>
      </w:r>
      <w:r w:rsidRPr="009C06D9">
        <w:t xml:space="preserve"> </w:t>
      </w:r>
    </w:p>
    <w:p w14:paraId="37BFB862" w14:textId="6F88F040" w:rsidR="006570B1" w:rsidRDefault="007A24AA" w:rsidP="00130237">
      <w:r w:rsidRPr="009C06D9">
        <w:t>1</w:t>
      </w:r>
      <w:r w:rsidR="006570B1">
        <w:t>.</w:t>
      </w:r>
      <w:r w:rsidRPr="009C06D9">
        <w:t xml:space="preserve"> including sufficient prudence to manage the effect of this over the time horizon, and </w:t>
      </w:r>
    </w:p>
    <w:p w14:paraId="54F2E6B5" w14:textId="7375CCFF" w:rsidR="009C06D9" w:rsidRPr="009C06D9" w:rsidRDefault="007A24AA" w:rsidP="00130237">
      <w:r w:rsidRPr="009C06D9">
        <w:t>2</w:t>
      </w:r>
      <w:r w:rsidR="006570B1">
        <w:t>.</w:t>
      </w:r>
      <w:r w:rsidRPr="009C06D9">
        <w:t xml:space="preserve"> making changes to employer contribution rates to ensure the funding strategy objectives are met.  </w:t>
      </w:r>
    </w:p>
    <w:p w14:paraId="65D894FE" w14:textId="7988939E" w:rsidR="00824789" w:rsidRDefault="00C47DAB">
      <w:pPr>
        <w:rPr>
          <w:rFonts w:ascii="Calibri" w:eastAsiaTheme="majorEastAsia" w:hAnsi="Calibri" w:cstheme="majorBidi"/>
          <w:b/>
          <w:color w:val="61207F"/>
          <w:sz w:val="24"/>
          <w:szCs w:val="32"/>
        </w:rPr>
      </w:pPr>
      <w:r w:rsidRPr="000058FD">
        <w:rPr>
          <w:rFonts w:cstheme="minorHAnsi"/>
        </w:rPr>
        <w:t xml:space="preserve">The </w:t>
      </w:r>
      <w:r w:rsidR="004107E8">
        <w:rPr>
          <w:rFonts w:cstheme="minorHAnsi"/>
        </w:rPr>
        <w:t>t</w:t>
      </w:r>
      <w:r w:rsidR="007A24AA" w:rsidRPr="000058FD">
        <w:rPr>
          <w:rFonts w:cstheme="minorHAnsi"/>
        </w:rPr>
        <w:t xml:space="preserve">able </w:t>
      </w:r>
      <w:r w:rsidRPr="000058FD">
        <w:rPr>
          <w:rFonts w:cstheme="minorHAnsi"/>
        </w:rPr>
        <w:t xml:space="preserve">in paragraph </w:t>
      </w:r>
      <w:r w:rsidR="007A24AA" w:rsidRPr="000058FD">
        <w:rPr>
          <w:rFonts w:cstheme="minorHAnsi"/>
        </w:rPr>
        <w:t>2</w:t>
      </w:r>
      <w:r w:rsidR="00A44946" w:rsidRPr="000058FD">
        <w:rPr>
          <w:rFonts w:cstheme="minorHAnsi"/>
        </w:rPr>
        <w:t>.2</w:t>
      </w:r>
      <w:r w:rsidR="007A24AA" w:rsidRPr="000058FD">
        <w:rPr>
          <w:rFonts w:cstheme="minorHAnsi"/>
        </w:rPr>
        <w:t xml:space="preserve"> </w:t>
      </w:r>
      <w:r w:rsidR="007A24AA" w:rsidRPr="004107E8">
        <w:rPr>
          <w:rFonts w:cstheme="minorHAnsi"/>
        </w:rPr>
        <w:t>sets out</w:t>
      </w:r>
      <w:r w:rsidR="007A24AA" w:rsidRPr="00932A11">
        <w:rPr>
          <w:rFonts w:cstheme="minorHAnsi"/>
        </w:rPr>
        <w:t xml:space="preserve"> the Fund’s approach to setting contribution rates for each employer group.  </w:t>
      </w:r>
      <w:bookmarkStart w:id="30" w:name="_Toc194482874"/>
    </w:p>
    <w:p w14:paraId="5F0A53F0" w14:textId="284478BC" w:rsidR="00DC787E" w:rsidRDefault="00DC787E" w:rsidP="00DC787E">
      <w:pPr>
        <w:pStyle w:val="Heading1"/>
      </w:pPr>
      <w:r>
        <w:lastRenderedPageBreak/>
        <w:t>3. What additional contributions may be payable?</w:t>
      </w:r>
      <w:bookmarkEnd w:id="30"/>
    </w:p>
    <w:p w14:paraId="129CC22D" w14:textId="07941FEB" w:rsidR="00DC787E" w:rsidRDefault="00DC787E" w:rsidP="00DC787E">
      <w:pPr>
        <w:pStyle w:val="Heading2"/>
      </w:pPr>
      <w:bookmarkStart w:id="31" w:name="_Toc194482875"/>
      <w:r>
        <w:t>3.1 Pension costs – awarding additional pension and early retirement on no</w:t>
      </w:r>
      <w:r w:rsidR="00741A54">
        <w:t>n</w:t>
      </w:r>
      <w:r w:rsidR="00466494">
        <w:t>-</w:t>
      </w:r>
      <w:r>
        <w:t>ill health grounds</w:t>
      </w:r>
      <w:bookmarkEnd w:id="31"/>
    </w:p>
    <w:p w14:paraId="2EC4CFB1" w14:textId="3B459963" w:rsidR="00DC787E" w:rsidRDefault="00DC787E" w:rsidP="00DC787E">
      <w:r>
        <w:t xml:space="preserve">If an employer awards additional pension as an annual benefit amount, they pay an additional contribution to the </w:t>
      </w:r>
      <w:r w:rsidR="00AE3F19">
        <w:t>Fund</w:t>
      </w:r>
      <w:r>
        <w:t xml:space="preserve"> as a single lump sum.</w:t>
      </w:r>
      <w:r w:rsidR="00275C3A">
        <w:t xml:space="preserve"> </w:t>
      </w:r>
      <w:r>
        <w:t xml:space="preserve">The amount is set in line with guidance issued by the Government Actuary’s Department and the </w:t>
      </w:r>
      <w:r w:rsidR="00AE3F19">
        <w:t>Fund</w:t>
      </w:r>
      <w:r>
        <w:t xml:space="preserve">-specific actuarial factors which are updated from time to time. </w:t>
      </w:r>
    </w:p>
    <w:p w14:paraId="4F60971C" w14:textId="77777777" w:rsidR="00DC787E" w:rsidRDefault="00DC787E" w:rsidP="00DC787E">
      <w:r>
        <w:t xml:space="preserve">If an employee retires before their normal retirement age on unreduced benefits, employers may be asked to pay additional contributions called strain payments. </w:t>
      </w:r>
    </w:p>
    <w:p w14:paraId="4791F6E5" w14:textId="5C8D77B6" w:rsidR="00DC787E" w:rsidRDefault="00DC787E" w:rsidP="00DC787E">
      <w:r>
        <w:t>Employers typically make strain payments as a single lump sum, though strain payments may be spread if the administering authority agrees:</w:t>
      </w:r>
      <w:r w:rsidR="00275C3A">
        <w:t xml:space="preserve"> </w:t>
      </w:r>
    </w:p>
    <w:p w14:paraId="45B99458" w14:textId="00CE6F07" w:rsidR="00DC787E" w:rsidRDefault="00DC787E" w:rsidP="00DC787E">
      <w:r>
        <w:t>Major employing bodies and academies</w:t>
      </w:r>
      <w:r>
        <w:tab/>
      </w:r>
      <w:r>
        <w:tab/>
      </w:r>
      <w:r>
        <w:tab/>
      </w:r>
      <w:r>
        <w:tab/>
        <w:t>- up to 3 years</w:t>
      </w:r>
    </w:p>
    <w:p w14:paraId="7B7CD60C" w14:textId="77777777" w:rsidR="00DC787E" w:rsidRDefault="00DC787E" w:rsidP="00DC787E">
      <w:r>
        <w:t>CABs and designating employers</w:t>
      </w:r>
      <w:r>
        <w:tab/>
      </w:r>
      <w:r>
        <w:tab/>
      </w:r>
      <w:r>
        <w:tab/>
      </w:r>
      <w:r>
        <w:tab/>
        <w:t>- up to 3 years</w:t>
      </w:r>
    </w:p>
    <w:p w14:paraId="090A54C3" w14:textId="009804A1" w:rsidR="00DC787E" w:rsidRDefault="00DC787E" w:rsidP="00DC787E">
      <w:r>
        <w:t>TABs</w:t>
      </w:r>
      <w:r>
        <w:tab/>
      </w:r>
      <w:r>
        <w:tab/>
      </w:r>
      <w:r>
        <w:tab/>
      </w:r>
      <w:r>
        <w:tab/>
      </w:r>
      <w:r>
        <w:tab/>
      </w:r>
      <w:r>
        <w:tab/>
      </w:r>
      <w:r>
        <w:tab/>
      </w:r>
      <w:r>
        <w:tab/>
        <w:t>- payable immediately.</w:t>
      </w:r>
      <w:r w:rsidR="00275C3A">
        <w:t xml:space="preserve"> </w:t>
      </w:r>
    </w:p>
    <w:p w14:paraId="52F3AB3E" w14:textId="78CAD1B7" w:rsidR="00DC787E" w:rsidRDefault="00DC787E" w:rsidP="00DC787E">
      <w:pPr>
        <w:pStyle w:val="Heading2"/>
      </w:pPr>
      <w:bookmarkStart w:id="32" w:name="_Toc194482876"/>
      <w:r>
        <w:t>3.2 Pension costs – early retirement on ill health grounds</w:t>
      </w:r>
      <w:bookmarkEnd w:id="32"/>
    </w:p>
    <w:p w14:paraId="197CBCC6" w14:textId="1F814A88" w:rsidR="00DC787E" w:rsidRDefault="00DC787E" w:rsidP="00DC787E">
      <w:r>
        <w:t xml:space="preserve">If a member retires early because of ill-health, this gives rise to a </w:t>
      </w:r>
      <w:r w:rsidR="00AE3F19">
        <w:t>Fund</w:t>
      </w:r>
      <w:r>
        <w:t xml:space="preserve">ing strain, which may be a large sum. </w:t>
      </w:r>
    </w:p>
    <w:p w14:paraId="6162AA81" w14:textId="48976803" w:rsidR="00DC787E" w:rsidRDefault="00DC787E" w:rsidP="00DC787E">
      <w:r>
        <w:t xml:space="preserve">The </w:t>
      </w:r>
      <w:r w:rsidR="00AE3F19">
        <w:t>Fund</w:t>
      </w:r>
      <w:r>
        <w:t xml:space="preserve"> operates cost-sharing to spread ill-heath early retirement strain costs across all active employers.</w:t>
      </w:r>
    </w:p>
    <w:p w14:paraId="19B9F8EC" w14:textId="00085A41" w:rsidR="007840CB" w:rsidRDefault="00DC787E">
      <w:r>
        <w:t>When a member retires on ill-health early retirement, the strain cost is spread across active employers in proportion to their active membership numbers. The retiring member’s employer’s asset share is credited with the strain cost amount.</w:t>
      </w:r>
    </w:p>
    <w:p w14:paraId="664EFE2D" w14:textId="0052CCEB" w:rsidR="00DC787E" w:rsidRDefault="00DC787E" w:rsidP="00DC787E">
      <w:pPr>
        <w:pStyle w:val="Heading1"/>
      </w:pPr>
      <w:bookmarkStart w:id="33" w:name="_Toc194482877"/>
      <w:r>
        <w:t xml:space="preserve">4. How does the </w:t>
      </w:r>
      <w:r w:rsidR="00AE3F19">
        <w:t>Fund</w:t>
      </w:r>
      <w:r>
        <w:t xml:space="preserve"> calculate assets and liabilities?</w:t>
      </w:r>
      <w:bookmarkEnd w:id="33"/>
    </w:p>
    <w:p w14:paraId="6B4E25BA" w14:textId="6946D294" w:rsidR="00DC787E" w:rsidRDefault="00DC787E" w:rsidP="00DC787E">
      <w:pPr>
        <w:pStyle w:val="Heading2"/>
      </w:pPr>
      <w:bookmarkStart w:id="34" w:name="_Toc194482878"/>
      <w:r>
        <w:t>4.1 How are employer asset shares calculated?</w:t>
      </w:r>
      <w:bookmarkEnd w:id="34"/>
    </w:p>
    <w:p w14:paraId="20BD0303" w14:textId="2AB9697F" w:rsidR="00DC787E" w:rsidRDefault="00DC787E" w:rsidP="00DC787E">
      <w:r>
        <w:t xml:space="preserve">The </w:t>
      </w:r>
      <w:r w:rsidR="00AE3F19">
        <w:t>Fund</w:t>
      </w:r>
      <w:r>
        <w:t xml:space="preserve"> adopts a cashflow approach to track individual employer assets.</w:t>
      </w:r>
    </w:p>
    <w:p w14:paraId="0E294596" w14:textId="7103A909" w:rsidR="00DC787E" w:rsidRDefault="00DC787E" w:rsidP="00DC787E">
      <w:r>
        <w:t xml:space="preserve">The </w:t>
      </w:r>
      <w:r w:rsidR="00AE3F19">
        <w:t>Fund</w:t>
      </w:r>
      <w:r>
        <w:t xml:space="preserve"> uses Hymans Robertson’s HEAT system to track employer assets monthly. Each employer’s assets from the previous month end are added to monthly cashflows paid in/out and investment returns to give a new month-end asset value. </w:t>
      </w:r>
    </w:p>
    <w:p w14:paraId="605F4782" w14:textId="70D8E994" w:rsidR="00DC787E" w:rsidRDefault="00DC787E" w:rsidP="00DC787E">
      <w:r>
        <w:t xml:space="preserve">If an employee moves from one employer to another within the </w:t>
      </w:r>
      <w:r w:rsidR="00AE3F19">
        <w:t>Fund</w:t>
      </w:r>
      <w:r>
        <w:t xml:space="preserve">, assets equal to the cash equivalent transfer value (CETV) will move from the original employer to the receiving employer’s asset share. </w:t>
      </w:r>
    </w:p>
    <w:p w14:paraId="5D09744C" w14:textId="025EAD2E" w:rsidR="00DC787E" w:rsidRDefault="00DC787E" w:rsidP="00DC787E">
      <w:r>
        <w:t xml:space="preserve">Alternatively, if employees move when a new academy is formed or an outsourced contract begins, the </w:t>
      </w:r>
      <w:r w:rsidR="00AE3F19">
        <w:t>Fund</w:t>
      </w:r>
      <w:r>
        <w:t xml:space="preserve"> actuary will calculate assets linked to the value of the liabilities transferring (see section 5).</w:t>
      </w:r>
      <w:r w:rsidR="00275C3A">
        <w:t xml:space="preserve"> </w:t>
      </w:r>
    </w:p>
    <w:p w14:paraId="1F9EED90" w14:textId="03A03E79" w:rsidR="00DC787E" w:rsidRDefault="00DC787E" w:rsidP="00DC787E">
      <w:pPr>
        <w:pStyle w:val="Heading2"/>
      </w:pPr>
      <w:bookmarkStart w:id="35" w:name="_Toc194482879"/>
      <w:r>
        <w:t>4.2 How are employer liabilities calculated?</w:t>
      </w:r>
      <w:bookmarkEnd w:id="35"/>
    </w:p>
    <w:p w14:paraId="1320795E" w14:textId="5AC673FF" w:rsidR="00DC787E" w:rsidRDefault="00DC787E" w:rsidP="00DC787E">
      <w:r>
        <w:t xml:space="preserve">The </w:t>
      </w:r>
      <w:r w:rsidR="00AE3F19">
        <w:t>Fund</w:t>
      </w:r>
      <w:r>
        <w:t xml:space="preserve"> holds membership data for all active, deferred and pensioner members. Based on this data and the assumptions in </w:t>
      </w:r>
      <w:r w:rsidRPr="008B42A1">
        <w:t xml:space="preserve">Appendix </w:t>
      </w:r>
      <w:r w:rsidR="002E4EAA" w:rsidRPr="008B42A1">
        <w:t>E</w:t>
      </w:r>
      <w:r>
        <w:t xml:space="preserve">, the </w:t>
      </w:r>
      <w:r w:rsidR="00AE3F19">
        <w:t>Fund</w:t>
      </w:r>
      <w:r>
        <w:t xml:space="preserve"> actuary projects the expected benefits for all members into the future. This is expressed as a single value – the liabilities – by allowing for expected future investment returns. </w:t>
      </w:r>
    </w:p>
    <w:p w14:paraId="35895ECE" w14:textId="677428AC" w:rsidR="00DC787E" w:rsidRDefault="00DC787E" w:rsidP="00DC787E">
      <w:r>
        <w:t>Each employer’s liabilities reflect the experience of their own employees and ex-employees.</w:t>
      </w:r>
    </w:p>
    <w:p w14:paraId="7864DBAF" w14:textId="2B4CCBCD" w:rsidR="004B0BCC" w:rsidRDefault="004B0BCC" w:rsidP="004B0BCC">
      <w:r>
        <w:lastRenderedPageBreak/>
        <w:t xml:space="preserve">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w:t>
      </w:r>
      <w:r w:rsidR="0001523D">
        <w:t>M</w:t>
      </w:r>
      <w:r w:rsidR="00427293">
        <w:t>HCLG</w:t>
      </w:r>
      <w:r>
        <w:t>.</w:t>
      </w:r>
    </w:p>
    <w:p w14:paraId="640B36B5" w14:textId="2602AE7D" w:rsidR="00DC787E" w:rsidRDefault="00DC787E" w:rsidP="00DC787E">
      <w:pPr>
        <w:pStyle w:val="Heading2"/>
      </w:pPr>
      <w:bookmarkStart w:id="36" w:name="_Toc194482880"/>
      <w:r>
        <w:t xml:space="preserve">4.3 What is a </w:t>
      </w:r>
      <w:r w:rsidR="00AE3F19">
        <w:t>Fund</w:t>
      </w:r>
      <w:r>
        <w:t>ing level?</w:t>
      </w:r>
      <w:bookmarkEnd w:id="36"/>
    </w:p>
    <w:p w14:paraId="74E599C1" w14:textId="7C226CAC" w:rsidR="00DC787E" w:rsidRDefault="00DC787E" w:rsidP="00DC787E">
      <w:r>
        <w:t xml:space="preserve">An employer’s </w:t>
      </w:r>
      <w:r w:rsidR="00AE3F19">
        <w:t>Fund</w:t>
      </w:r>
      <w:r>
        <w:t>ing level is the ratio of the market value of 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A41044A" w14:textId="73A9CB7D" w:rsidR="00DC787E" w:rsidRDefault="00AE3F19" w:rsidP="00DC787E">
      <w:r>
        <w:t>Fund</w:t>
      </w:r>
      <w:r w:rsidR="00DC787E">
        <w:t xml:space="preserve">ing levels and deficit/surplus values measure a particular point in time, based on a particular set of future assumptions. While this measure is of interest, for most employers the main issue is the level of contributions payable. The </w:t>
      </w:r>
      <w:r>
        <w:t>Fund</w:t>
      </w:r>
      <w:r w:rsidR="00DC787E">
        <w:t>ing level does not directly drive contribution rates. See section 2 for further information on contribution rates.</w:t>
      </w:r>
    </w:p>
    <w:p w14:paraId="3BA78172" w14:textId="4C2F4443" w:rsidR="00DC787E" w:rsidRDefault="00DC787E" w:rsidP="00DC787E">
      <w:pPr>
        <w:pStyle w:val="Heading1"/>
      </w:pPr>
      <w:bookmarkStart w:id="37" w:name="_Toc194482881"/>
      <w:r>
        <w:t xml:space="preserve">5. What happens when an employer joins the </w:t>
      </w:r>
      <w:r w:rsidR="00AE3F19">
        <w:t>Fund</w:t>
      </w:r>
      <w:r>
        <w:t>?</w:t>
      </w:r>
      <w:bookmarkEnd w:id="37"/>
    </w:p>
    <w:p w14:paraId="3C7B9D22" w14:textId="49D216CA" w:rsidR="00DC787E" w:rsidRDefault="00DC787E" w:rsidP="00DC787E">
      <w:pPr>
        <w:pStyle w:val="Heading2"/>
      </w:pPr>
      <w:bookmarkStart w:id="38" w:name="_Toc194482882"/>
      <w:r>
        <w:t xml:space="preserve">5.1 When can an employer join the </w:t>
      </w:r>
      <w:r w:rsidR="00AE3F19">
        <w:t>Fund</w:t>
      </w:r>
      <w:r>
        <w:t>?</w:t>
      </w:r>
      <w:bookmarkEnd w:id="38"/>
    </w:p>
    <w:p w14:paraId="6574AA8D" w14:textId="5049A2AC" w:rsidR="00DC787E" w:rsidRDefault="00DC787E" w:rsidP="00DC787E">
      <w:r>
        <w:t xml:space="preserve">Employers can join the </w:t>
      </w:r>
      <w:r w:rsidR="00AE3F19">
        <w:t>Fund</w:t>
      </w:r>
      <w:r>
        <w:t xml:space="preserve"> if they are a new scheduled body or a new admission body. New designated employers may also join the </w:t>
      </w:r>
      <w:r w:rsidR="00AE3F19">
        <w:t>Fund</w:t>
      </w:r>
      <w:r>
        <w:t xml:space="preserve"> if they pass a designation to do so. </w:t>
      </w:r>
    </w:p>
    <w:p w14:paraId="47BFD44A" w14:textId="74B009EB" w:rsidR="00DC787E" w:rsidRDefault="00DC787E" w:rsidP="00DC787E">
      <w:r>
        <w:t xml:space="preserve">On joining, the </w:t>
      </w:r>
      <w:r w:rsidR="00AE3F19">
        <w:t>Fund</w:t>
      </w:r>
      <w:r>
        <w:t xml:space="preserve"> will determine the assets and liabilities for that employer within the </w:t>
      </w:r>
      <w:r w:rsidR="00AE3F19">
        <w:t>Fund</w:t>
      </w:r>
      <w:r>
        <w:t>.</w:t>
      </w:r>
      <w:r w:rsidR="00275C3A">
        <w:t xml:space="preserve"> </w:t>
      </w:r>
      <w:r>
        <w:t>The calculation will depend on the type of employer</w:t>
      </w:r>
      <w:r w:rsidR="009247ED">
        <w:t xml:space="preserve">, </w:t>
      </w:r>
      <w:r w:rsidR="00CB279D" w:rsidRPr="00CB279D">
        <w:t>the existence of any guarantee,</w:t>
      </w:r>
      <w:r>
        <w:t xml:space="preserve"> and the circumstances of joining.</w:t>
      </w:r>
    </w:p>
    <w:p w14:paraId="5C914F46" w14:textId="0E02C1B2" w:rsidR="00DC787E" w:rsidRDefault="00DC787E" w:rsidP="00DC787E">
      <w:r>
        <w:t>A contribution rate will also be set.</w:t>
      </w:r>
      <w:r w:rsidR="00275C3A">
        <w:t xml:space="preserve"> </w:t>
      </w:r>
      <w:r>
        <w:t>This will be set in accordance with the calculation set out in section 2, unless alternative arrangements apply (for example, the employer has agreed a pass-through arrangement).</w:t>
      </w:r>
      <w:r w:rsidR="00275C3A">
        <w:t xml:space="preserve"> </w:t>
      </w:r>
      <w:r>
        <w:t>More details on this are in section 5.4 below.</w:t>
      </w:r>
    </w:p>
    <w:p w14:paraId="1ACD85AF" w14:textId="6904666A" w:rsidR="005D64A0" w:rsidRPr="00DC787E" w:rsidRDefault="005D64A0" w:rsidP="005D64A0">
      <w:pPr>
        <w:pStyle w:val="Heading2"/>
      </w:pPr>
      <w:bookmarkStart w:id="39" w:name="_Toc194482883"/>
      <w:r>
        <w:t>5.2 New academies</w:t>
      </w:r>
      <w:bookmarkEnd w:id="39"/>
    </w:p>
    <w:p w14:paraId="2C99C598" w14:textId="69A4A020" w:rsidR="005D64A0" w:rsidRPr="00756C7C" w:rsidRDefault="005D64A0" w:rsidP="005D64A0">
      <w:r w:rsidRPr="00551846">
        <w:t xml:space="preserve">New academies join the </w:t>
      </w:r>
      <w:r w:rsidR="00AE3F19" w:rsidRPr="00551846">
        <w:t>Fund</w:t>
      </w:r>
      <w:r w:rsidRPr="00551846">
        <w:t xml:space="preserve"> as separate scheduled </w:t>
      </w:r>
      <w:r w:rsidR="00315432">
        <w:t>bodies</w:t>
      </w:r>
      <w:r w:rsidRPr="00756C7C">
        <w:t>.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Pr="00756C7C" w:rsidRDefault="005D64A0" w:rsidP="005D64A0">
      <w:r w:rsidRPr="00756C7C">
        <w:t xml:space="preserve">Liabilities for transferring active members will be calculated (on the ongoing basis) by the </w:t>
      </w:r>
      <w:r w:rsidR="00AE3F19" w:rsidRPr="00756C7C">
        <w:t>Fund</w:t>
      </w:r>
      <w:r w:rsidRPr="00756C7C">
        <w:t xml:space="preserve"> actuary on the day before conversion to an academy. Liabilities relating to the converting school’s former employees (ie members with deferred or pensioner status) remain with the ceding council. </w:t>
      </w:r>
    </w:p>
    <w:p w14:paraId="45FC67AA" w14:textId="6F29554A" w:rsidR="005D64A0" w:rsidRPr="00F07C36" w:rsidRDefault="005D64A0" w:rsidP="005D64A0">
      <w:r w:rsidRPr="00756C7C">
        <w:t xml:space="preserve">New academies will be allocated an asset share based on the estimated </w:t>
      </w:r>
      <w:r w:rsidR="00315432">
        <w:t>f</w:t>
      </w:r>
      <w:r w:rsidR="00AE3F19" w:rsidRPr="00F07C36">
        <w:t>und</w:t>
      </w:r>
      <w:r w:rsidRPr="00F07C36">
        <w:t>ing level of the ceding council’s active members</w:t>
      </w:r>
      <w:r w:rsidR="00427293">
        <w:t>. This calculation is made after</w:t>
      </w:r>
      <w:r w:rsidRPr="00F07C36">
        <w:t xml:space="preserve"> first allocat</w:t>
      </w:r>
      <w:r w:rsidR="00374315">
        <w:t>ing</w:t>
      </w:r>
      <w:r w:rsidRPr="00F07C36">
        <w:t xml:space="preserve"> the council’s assets to fully </w:t>
      </w:r>
      <w:r w:rsidR="00AE3F19" w:rsidRPr="00F07C36">
        <w:t>Fund</w:t>
      </w:r>
      <w:r w:rsidRPr="00F07C36">
        <w:t xml:space="preserve"> their deferred and pensioner members. This </w:t>
      </w:r>
      <w:r w:rsidR="00315432">
        <w:t>f</w:t>
      </w:r>
      <w:r w:rsidR="00AE3F19" w:rsidRPr="00551846">
        <w:t>und</w:t>
      </w:r>
      <w:r w:rsidRPr="00551846">
        <w:t xml:space="preserve">ing level will then be applied to the transferring liabilities to calculate the academy’s initial asset share, capped at a maximum of 100%. The council’s estimated </w:t>
      </w:r>
      <w:r w:rsidR="00315432">
        <w:t>f</w:t>
      </w:r>
      <w:r w:rsidR="00AE3F19" w:rsidRPr="00F07C36">
        <w:t>und</w:t>
      </w:r>
      <w:r w:rsidRPr="00F07C36">
        <w:t xml:space="preserve">ing level will be based on market conditions on the day before conversion. </w:t>
      </w:r>
    </w:p>
    <w:p w14:paraId="7F21CE41" w14:textId="2A9953B5" w:rsidR="005D64A0" w:rsidRPr="00551846" w:rsidRDefault="000414F9" w:rsidP="005D64A0">
      <w:r w:rsidRPr="00F07C36">
        <w:t>It is expected that new academies will join an existing MA</w:t>
      </w:r>
      <w:r w:rsidR="00094585" w:rsidRPr="00F07C36">
        <w:t>T</w:t>
      </w:r>
      <w:r w:rsidRPr="00F07C36">
        <w:t xml:space="preserve">.  Following conversion, the new academy will </w:t>
      </w:r>
      <w:r w:rsidR="00FE7586" w:rsidRPr="00F07C36">
        <w:t xml:space="preserve">join the MAT pool and pay the pooled contribution rate. </w:t>
      </w:r>
      <w:r w:rsidR="00980879">
        <w:t>T</w:t>
      </w:r>
      <w:r w:rsidR="005D64A0" w:rsidRPr="00551846">
        <w:t xml:space="preserve">he new academy’s contribution rate </w:t>
      </w:r>
      <w:r w:rsidR="00980879">
        <w:t>will be</w:t>
      </w:r>
      <w:r w:rsidR="005D64A0" w:rsidRPr="00551846">
        <w:t xml:space="preserve"> based on the current </w:t>
      </w:r>
      <w:r w:rsidR="00AE3F19" w:rsidRPr="00551846">
        <w:t>Fund</w:t>
      </w:r>
      <w:r w:rsidR="005D64A0" w:rsidRPr="00551846">
        <w:t>ing strategy (set out in section 2) and the transferring membership</w:t>
      </w:r>
      <w:r w:rsidR="00980879">
        <w:t>, if:</w:t>
      </w:r>
      <w:r w:rsidR="005D64A0" w:rsidRPr="00551846">
        <w:t xml:space="preserve"> </w:t>
      </w:r>
    </w:p>
    <w:p w14:paraId="52E74B5E" w14:textId="77777777" w:rsidR="001D2CBE" w:rsidRDefault="001D2CBE" w:rsidP="001D2CBE">
      <w:pPr>
        <w:pStyle w:val="ListParagraph"/>
        <w:numPr>
          <w:ilvl w:val="0"/>
          <w:numId w:val="96"/>
        </w:numPr>
      </w:pPr>
      <w:r>
        <w:t>the new academy is not part of a MAT, or</w:t>
      </w:r>
    </w:p>
    <w:p w14:paraId="0E433B21" w14:textId="6FCF2B12" w:rsidR="001D2CBE" w:rsidRPr="007537B4" w:rsidRDefault="001D2CBE" w:rsidP="001D2CBE">
      <w:pPr>
        <w:pStyle w:val="ListParagraph"/>
        <w:numPr>
          <w:ilvl w:val="0"/>
          <w:numId w:val="96"/>
        </w:numPr>
      </w:pPr>
      <w:r>
        <w:t xml:space="preserve">the MAT does not already participate in the </w:t>
      </w:r>
      <w:r w:rsidR="004728B1">
        <w:t>Northampton</w:t>
      </w:r>
      <w:r>
        <w:t>shire Pension Fund.</w:t>
      </w:r>
    </w:p>
    <w:p w14:paraId="4EF28A39" w14:textId="77777777" w:rsidR="005D64A0" w:rsidRPr="00551846" w:rsidRDefault="005D64A0" w:rsidP="005D64A0">
      <w:r w:rsidRPr="00551846">
        <w:t>If an academy leaves one MAT and joins another, all active, deferred and pensioner members transfer to the new MAT.</w:t>
      </w:r>
    </w:p>
    <w:p w14:paraId="49AD9B3A" w14:textId="79285AAE" w:rsidR="005D64A0" w:rsidRPr="00183D45" w:rsidRDefault="005D64A0" w:rsidP="005D64A0">
      <w:r w:rsidRPr="00551846">
        <w:lastRenderedPageBreak/>
        <w:t xml:space="preserve">The </w:t>
      </w:r>
      <w:r w:rsidR="00AE3F19" w:rsidRPr="00551846">
        <w:t>Fund</w:t>
      </w:r>
      <w:r w:rsidRPr="00551846">
        <w:t xml:space="preserve">’s policies on academies may change based on updates to guidance from the </w:t>
      </w:r>
      <w:r w:rsidR="00941950" w:rsidRPr="00183D45">
        <w:t>Ministry for Housing, Communities and Local Government</w:t>
      </w:r>
      <w:r w:rsidR="00537825" w:rsidRPr="00183D45">
        <w:t xml:space="preserve"> </w:t>
      </w:r>
      <w:r w:rsidRPr="00F07C36">
        <w:t xml:space="preserve">or the Department for Education. Any changes will be communicated and reflected in future </w:t>
      </w:r>
      <w:r w:rsidR="00AE3F19" w:rsidRPr="00F07C36">
        <w:t>Fund</w:t>
      </w:r>
      <w:r w:rsidRPr="00F07C36">
        <w:t>ing strategy statements.</w:t>
      </w:r>
    </w:p>
    <w:p w14:paraId="152793E5" w14:textId="53E8805C" w:rsidR="00DC787E" w:rsidRDefault="005D64A0" w:rsidP="005D64A0">
      <w:r w:rsidRPr="00756C7C">
        <w:t xml:space="preserve">The </w:t>
      </w:r>
      <w:r w:rsidR="00AE3F19" w:rsidRPr="00756C7C">
        <w:t>Fund</w:t>
      </w:r>
      <w:r w:rsidRPr="00756C7C">
        <w:t xml:space="preserve">’s full policy on academy participation is available </w:t>
      </w:r>
      <w:hyperlink r:id="rId20" w:history="1">
        <w:r w:rsidR="00315432" w:rsidRPr="00315432">
          <w:rPr>
            <w:rStyle w:val="Hyperlink"/>
          </w:rPr>
          <w:t>here</w:t>
        </w:r>
      </w:hyperlink>
      <w:r w:rsidR="00315432">
        <w:t>.</w:t>
      </w:r>
    </w:p>
    <w:p w14:paraId="5B58B44C" w14:textId="70DF0B1C" w:rsidR="005D64A0" w:rsidRDefault="005D64A0" w:rsidP="005D64A0">
      <w:pPr>
        <w:pStyle w:val="Heading2"/>
      </w:pPr>
      <w:bookmarkStart w:id="40" w:name="_Toc194482884"/>
      <w:r>
        <w:t>5.3 New admission bodies as a result of outsourcing services</w:t>
      </w:r>
      <w:bookmarkEnd w:id="40"/>
    </w:p>
    <w:p w14:paraId="1AA64838" w14:textId="572D0C96" w:rsidR="005D64A0" w:rsidRDefault="005D64A0" w:rsidP="005D64A0">
      <w:r>
        <w:t xml:space="preserve">New admission bodies usually join the </w:t>
      </w:r>
      <w:r w:rsidR="00AE3F19">
        <w:t>Fund</w:t>
      </w:r>
      <w:r>
        <w:t xml:space="preserve"> because an existing employer outsources a service to another organisation (a contractor). This involves TUPE transfers of staff from the letting employer to the contractor. The contractor becomes a new participating </w:t>
      </w:r>
      <w:r w:rsidR="00AE3F19">
        <w:t>Fund</w:t>
      </w:r>
      <w:r>
        <w:t xml:space="preserve"> employer for the duration of the contract and transferring employees remain eligible for LGPS membership. At the end of the contract, employees typically revert to the letting employer or a replacement contractor.</w:t>
      </w:r>
    </w:p>
    <w:p w14:paraId="37BA2CBB" w14:textId="19911BB2" w:rsidR="005D64A0" w:rsidRDefault="00AE3F19" w:rsidP="005D64A0">
      <w:r>
        <w:t>Fund</w:t>
      </w:r>
      <w:r w:rsidR="005D64A0">
        <w:t xml:space="preserve">ing arrangements </w:t>
      </w:r>
      <w:r w:rsidR="00C567B9">
        <w:t xml:space="preserve">for new admission bodies </w:t>
      </w:r>
      <w:r w:rsidR="005D64A0">
        <w:t>are set up as one of the following two options:</w:t>
      </w:r>
    </w:p>
    <w:p w14:paraId="281E4884" w14:textId="77777777" w:rsidR="005D64A0" w:rsidRDefault="005D64A0" w:rsidP="005D64A0">
      <w:pPr>
        <w:pStyle w:val="Heading3"/>
      </w:pPr>
      <w:bookmarkStart w:id="41" w:name="_Toc194482885"/>
      <w:r>
        <w:t>i) Pass-through admissions</w:t>
      </w:r>
      <w:bookmarkEnd w:id="41"/>
    </w:p>
    <w:p w14:paraId="2CD0C2D3" w14:textId="196D1522" w:rsidR="005D64A0" w:rsidRDefault="005D64A0" w:rsidP="005D64A0">
      <w:r>
        <w:t xml:space="preserve">The </w:t>
      </w:r>
      <w:r w:rsidR="00AE3F19">
        <w:t>Fund</w:t>
      </w:r>
      <w:r w:rsidR="00C567B9">
        <w:t xml:space="preserve">’s default approach to managing </w:t>
      </w:r>
      <w:r>
        <w:t>the pension risk associated with contractors</w:t>
      </w:r>
      <w:r w:rsidR="00C567B9">
        <w:t xml:space="preserve"> is to operate a pass-through arrangement where the pension risk is retained by the letting authority</w:t>
      </w:r>
      <w:r>
        <w:t xml:space="preserve">. Further information is set out within the </w:t>
      </w:r>
      <w:r w:rsidR="00AE3F19" w:rsidRPr="00756C7C">
        <w:t>Fund</w:t>
      </w:r>
      <w:r w:rsidRPr="00756C7C">
        <w:t>’s</w:t>
      </w:r>
      <w:r w:rsidRPr="00A47DA6">
        <w:rPr>
          <w:highlight w:val="yellow"/>
        </w:rPr>
        <w:t xml:space="preserve"> </w:t>
      </w:r>
      <w:hyperlink r:id="rId21" w:history="1">
        <w:r w:rsidR="00C567B9" w:rsidRPr="00756C7C">
          <w:rPr>
            <w:rStyle w:val="Hyperlink"/>
          </w:rPr>
          <w:t>admissions</w:t>
        </w:r>
        <w:r w:rsidRPr="00756C7C">
          <w:rPr>
            <w:rStyle w:val="Hyperlink"/>
          </w:rPr>
          <w:t xml:space="preserve"> policy</w:t>
        </w:r>
      </w:hyperlink>
      <w:r w:rsidRPr="00756C7C">
        <w:t>.</w:t>
      </w:r>
      <w:r>
        <w:t xml:space="preserve"> </w:t>
      </w:r>
    </w:p>
    <w:p w14:paraId="5FCEEE72" w14:textId="77777777" w:rsidR="005D64A0" w:rsidRDefault="005D64A0" w:rsidP="005D64A0">
      <w:pPr>
        <w:pStyle w:val="Heading3"/>
      </w:pPr>
      <w:bookmarkStart w:id="42" w:name="_Toc194482886"/>
      <w:r>
        <w:t>(ii) Other admissions</w:t>
      </w:r>
      <w:bookmarkEnd w:id="42"/>
    </w:p>
    <w:p w14:paraId="7C93C6A0" w14:textId="66E95FAB" w:rsidR="005D64A0" w:rsidRDefault="00C567B9" w:rsidP="005D64A0">
      <w:r>
        <w:t xml:space="preserve">If a pass-through agreement is not considered to be appropriate by either the Fund or the Letting Authority, a full admission arrangement may be put in place. </w:t>
      </w:r>
      <w:r w:rsidR="005D64A0">
        <w:t xml:space="preserve">Liabilities for transferring active members will be calculated by the </w:t>
      </w:r>
      <w:r w:rsidR="00AE3F19">
        <w:t>Fund</w:t>
      </w:r>
      <w:r w:rsidR="005D64A0">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5D64A0" w:rsidRDefault="005D64A0" w:rsidP="005D64A0">
      <w:pPr>
        <w:pStyle w:val="Heading2"/>
      </w:pPr>
      <w:bookmarkStart w:id="43" w:name="_Toc194482887"/>
      <w:r>
        <w:t>5.4 Other new employers</w:t>
      </w:r>
      <w:bookmarkEnd w:id="43"/>
    </w:p>
    <w:p w14:paraId="54403A17" w14:textId="5B1F539A" w:rsidR="005D64A0" w:rsidRDefault="005D64A0" w:rsidP="005D64A0">
      <w:r>
        <w:t xml:space="preserve">There may be other circumstances that lead to a new admission or designating body entering the </w:t>
      </w:r>
      <w:r w:rsidR="00AE3F19">
        <w:t>Fund</w:t>
      </w:r>
      <w:r>
        <w:t xml:space="preserve">, eg set up of a wholly owned subsidiary company by a Local Authority. Calculation of assets and liabilities on joining and a contribution rate will be carried out allowing for the circumstances of the new employer. </w:t>
      </w:r>
    </w:p>
    <w:p w14:paraId="5AA598EB" w14:textId="677E5B15" w:rsidR="00BB103D" w:rsidRDefault="005D64A0" w:rsidP="005D64A0">
      <w:r>
        <w:t xml:space="preserve">New designated employers are usually town and parish councils. Where this is the case, contribution rates will be set using the same approach as other designated employers in the </w:t>
      </w:r>
      <w:r w:rsidR="00AE3F19">
        <w:t>Fund</w:t>
      </w:r>
      <w:r>
        <w:t xml:space="preserve">. </w:t>
      </w:r>
    </w:p>
    <w:p w14:paraId="00A320D1" w14:textId="71F0A09B" w:rsidR="001D6100" w:rsidRDefault="001D6100" w:rsidP="001D6100">
      <w:pPr>
        <w:pStyle w:val="Heading2"/>
      </w:pPr>
      <w:bookmarkStart w:id="44" w:name="_Toc194482888"/>
      <w:r>
        <w:t>5.5 Risk assessment for new admission bodies</w:t>
      </w:r>
      <w:bookmarkEnd w:id="44"/>
    </w:p>
    <w:p w14:paraId="32D04DE7" w14:textId="5F4AEB69" w:rsidR="005B1160" w:rsidRDefault="001D6100" w:rsidP="001D6100">
      <w:r>
        <w:t xml:space="preserve">Under the LGPS regulations, a new admission body must assess the risks it poses to the </w:t>
      </w:r>
      <w:r w:rsidR="00AE3F19">
        <w:t>Fund</w:t>
      </w:r>
      <w:r>
        <w:t xml:space="preserve"> if the admission agreement ends early</w:t>
      </w:r>
      <w:r w:rsidR="0005687D">
        <w:t>.</w:t>
      </w:r>
      <w:r>
        <w:t xml:space="preserve"> </w:t>
      </w:r>
      <w:r w:rsidR="0005687D">
        <w:t>F</w:t>
      </w:r>
      <w:r>
        <w:t xml:space="preserve">or example if the admission body becomes insolvent or goes out of business. In practice, the </w:t>
      </w:r>
      <w:r w:rsidR="00AE3F19">
        <w:t>Fund</w:t>
      </w:r>
      <w:r>
        <w:t xml:space="preserve"> actuary assesses this because the assessment must be carried out to the administering authority’s satisfaction. </w:t>
      </w:r>
      <w:r w:rsidR="005B1160">
        <w:t xml:space="preserve">In most cases where a pass-through arrangement is put in place, the actuarial assessment will not be carried out as the new admission body will not hold any of the pension related risks. </w:t>
      </w:r>
    </w:p>
    <w:p w14:paraId="3FA684CB" w14:textId="10A2EE42" w:rsidR="001D6100" w:rsidRDefault="00BC40A7" w:rsidP="001D6100">
      <w:r>
        <w:t xml:space="preserve">Where a full admission arrangement is put in </w:t>
      </w:r>
      <w:r w:rsidR="00B66D65">
        <w:t>place,</w:t>
      </w:r>
      <w:r>
        <w:t xml:space="preserve"> an actuarial assessment will be carried out</w:t>
      </w:r>
      <w:r w:rsidR="0005687D">
        <w:t>.</w:t>
      </w:r>
      <w:r>
        <w:t xml:space="preserve"> </w:t>
      </w:r>
      <w:r w:rsidR="001D6100">
        <w:t xml:space="preserve"> </w:t>
      </w:r>
      <w:r w:rsidR="0005687D">
        <w:t>T</w:t>
      </w:r>
      <w:r w:rsidR="001D6100">
        <w:t xml:space="preserve">he administering authority may decide the admission body must provide security, such as a guarantee from the letting employer, an indemnity or a bond. </w:t>
      </w:r>
    </w:p>
    <w:p w14:paraId="72412640" w14:textId="5B1A8259" w:rsidR="001D6100" w:rsidRDefault="00BC40A7" w:rsidP="001D6100">
      <w:r>
        <w:t>Where security is provided, t</w:t>
      </w:r>
      <w:r w:rsidR="001D6100">
        <w:t>his must cover some or all of the</w:t>
      </w:r>
      <w:r w:rsidR="0005687D">
        <w:t xml:space="preserve"> following</w:t>
      </w:r>
      <w:r w:rsidR="001D6100">
        <w:t>:</w:t>
      </w:r>
      <w:r w:rsidR="00AE3F19">
        <w:t xml:space="preserve"> </w:t>
      </w:r>
    </w:p>
    <w:p w14:paraId="2CF3964E" w14:textId="63785AA0" w:rsidR="001D6100" w:rsidRDefault="001D6100" w:rsidP="00A237C4">
      <w:pPr>
        <w:pStyle w:val="ListParagraph"/>
        <w:numPr>
          <w:ilvl w:val="0"/>
          <w:numId w:val="27"/>
        </w:numPr>
      </w:pPr>
      <w:r>
        <w:t xml:space="preserve">strain costs of any early </w:t>
      </w:r>
      <w:r w:rsidR="00F3401D">
        <w:t>retirements if</w:t>
      </w:r>
      <w:r>
        <w:t xml:space="preserve"> employees are made redundant when a contract ends prematurely</w:t>
      </w:r>
    </w:p>
    <w:p w14:paraId="4E7FBD16" w14:textId="77777777" w:rsidR="001D6100" w:rsidRDefault="001D6100" w:rsidP="00A237C4">
      <w:pPr>
        <w:pStyle w:val="ListParagraph"/>
        <w:numPr>
          <w:ilvl w:val="0"/>
          <w:numId w:val="27"/>
        </w:numPr>
      </w:pPr>
      <w:r>
        <w:t>allowance for the risk of assets performing less well than expected</w:t>
      </w:r>
    </w:p>
    <w:p w14:paraId="4D853638" w14:textId="77777777" w:rsidR="001D6100" w:rsidRDefault="001D6100" w:rsidP="00A237C4">
      <w:pPr>
        <w:pStyle w:val="ListParagraph"/>
        <w:numPr>
          <w:ilvl w:val="0"/>
          <w:numId w:val="27"/>
        </w:numPr>
      </w:pPr>
      <w:r>
        <w:lastRenderedPageBreak/>
        <w:t>allowance for the risk of liabilities being greater than expected</w:t>
      </w:r>
    </w:p>
    <w:p w14:paraId="7E31C705" w14:textId="77777777" w:rsidR="001D6100" w:rsidRDefault="001D6100" w:rsidP="00A237C4">
      <w:pPr>
        <w:pStyle w:val="ListParagraph"/>
        <w:numPr>
          <w:ilvl w:val="0"/>
          <w:numId w:val="27"/>
        </w:numPr>
      </w:pPr>
      <w:r>
        <w:t>allowance for the possible non-payment of employer and member contributions</w:t>
      </w:r>
    </w:p>
    <w:p w14:paraId="7E34886D" w14:textId="77777777" w:rsidR="001D6100" w:rsidRDefault="001D6100" w:rsidP="00A237C4">
      <w:pPr>
        <w:pStyle w:val="ListParagraph"/>
        <w:numPr>
          <w:ilvl w:val="0"/>
          <w:numId w:val="27"/>
        </w:numPr>
      </w:pPr>
      <w:r>
        <w:t>admission body’s existing deficit.</w:t>
      </w:r>
    </w:p>
    <w:p w14:paraId="374E5917" w14:textId="407F0E21" w:rsidR="001D6100" w:rsidRDefault="001D6100" w:rsidP="001D6100">
      <w:bookmarkStart w:id="45" w:name="_Hlk114230109"/>
      <w:r>
        <w:t xml:space="preserve">The </w:t>
      </w:r>
      <w:r w:rsidR="00AE3F19">
        <w:t>Fund</w:t>
      </w:r>
      <w:r>
        <w:t xml:space="preserve">’s </w:t>
      </w:r>
      <w:r w:rsidR="00C71BBB" w:rsidRPr="00C71BBB">
        <w:t xml:space="preserve">Admission bodies, scheme employers and bulk transfer policy </w:t>
      </w:r>
      <w:r>
        <w:t xml:space="preserve">is available </w:t>
      </w:r>
      <w:hyperlink r:id="rId22" w:history="1">
        <w:r w:rsidRPr="00C71BBB">
          <w:rPr>
            <w:rStyle w:val="Hyperlink"/>
          </w:rPr>
          <w:t>here</w:t>
        </w:r>
      </w:hyperlink>
      <w:r>
        <w:t>.</w:t>
      </w:r>
    </w:p>
    <w:p w14:paraId="1F3D06EF" w14:textId="21A95B65" w:rsidR="005916FB" w:rsidRDefault="005916FB" w:rsidP="005916FB">
      <w:pPr>
        <w:pStyle w:val="Heading1"/>
      </w:pPr>
      <w:bookmarkStart w:id="46" w:name="_Toc194482889"/>
      <w:bookmarkEnd w:id="45"/>
      <w:r>
        <w:t>6. What happens if an employer has a bulk transfer of staff?</w:t>
      </w:r>
      <w:bookmarkEnd w:id="46"/>
    </w:p>
    <w:p w14:paraId="2CE33C68" w14:textId="77777777" w:rsidR="005916FB" w:rsidRDefault="005916FB" w:rsidP="005916FB">
      <w:r>
        <w:t xml:space="preserve">Bulk transfer cases will be looked at individually, but generally: </w:t>
      </w:r>
    </w:p>
    <w:p w14:paraId="1CA17559" w14:textId="559B1625" w:rsidR="005916FB" w:rsidRDefault="005916FB" w:rsidP="00A237C4">
      <w:pPr>
        <w:pStyle w:val="ListParagraph"/>
        <w:numPr>
          <w:ilvl w:val="0"/>
          <w:numId w:val="28"/>
        </w:numPr>
      </w:pPr>
      <w:r>
        <w:t xml:space="preserve">where an entire employer is transferring, the </w:t>
      </w:r>
      <w:r w:rsidR="00AE3F19">
        <w:t>Fund</w:t>
      </w:r>
      <w:r>
        <w:t xml:space="preserve"> will pay bulk transfers equal to the asset share of the transferring employer</w:t>
      </w:r>
      <w:r w:rsidR="00921A39">
        <w:t>.</w:t>
      </w:r>
      <w:r>
        <w:t xml:space="preserve"> </w:t>
      </w:r>
      <w:r w:rsidR="00921A39">
        <w:t xml:space="preserve">This is </w:t>
      </w:r>
      <w:r>
        <w:t>regardless of whether the value of the liabilities of the transferring members is higher or lower than the asset share</w:t>
      </w:r>
    </w:p>
    <w:p w14:paraId="097E0193" w14:textId="54EC8AB3" w:rsidR="005916FB" w:rsidRDefault="005916FB" w:rsidP="00A237C4">
      <w:pPr>
        <w:pStyle w:val="ListParagraph"/>
        <w:numPr>
          <w:ilvl w:val="0"/>
          <w:numId w:val="28"/>
        </w:numPr>
      </w:pPr>
      <w:r>
        <w:t xml:space="preserve">the </w:t>
      </w:r>
      <w:r w:rsidR="00AE3F19">
        <w:t>Fund</w:t>
      </w:r>
      <w:r>
        <w:t xml:space="preserve"> won’t grant added benefits to members bringing in entitlements from another </w:t>
      </w:r>
      <w:r w:rsidR="00AE3F19">
        <w:t>Fund</w:t>
      </w:r>
      <w:r>
        <w:t>, unless the asset transfer is enough to meet the added liabilities</w:t>
      </w:r>
    </w:p>
    <w:p w14:paraId="4BCE2AC6" w14:textId="29E77663" w:rsidR="005916FB" w:rsidRDefault="005916FB" w:rsidP="00A237C4">
      <w:pPr>
        <w:pStyle w:val="ListParagraph"/>
        <w:numPr>
          <w:ilvl w:val="0"/>
          <w:numId w:val="28"/>
        </w:numPr>
      </w:pPr>
      <w:r>
        <w:t xml:space="preserve">the </w:t>
      </w:r>
      <w:r w:rsidR="00AE3F19">
        <w:t>Fund</w:t>
      </w:r>
      <w:r>
        <w:t xml:space="preserve"> may permit shortfalls on bulk transfers if the employer has a suitable covenant and commits to meeting the shortfall in an appropriate period</w:t>
      </w:r>
      <w:r w:rsidR="0084263F">
        <w:t>.</w:t>
      </w:r>
      <w:r>
        <w:t xml:space="preserve"> </w:t>
      </w:r>
      <w:r w:rsidR="0084263F">
        <w:t>This</w:t>
      </w:r>
      <w:r>
        <w:t xml:space="preserve"> may re</w:t>
      </w:r>
      <w:r w:rsidR="0084263F">
        <w:t>sult in</w:t>
      </w:r>
      <w:r>
        <w:t xml:space="preserve"> increased contributions between valuations. </w:t>
      </w:r>
    </w:p>
    <w:p w14:paraId="73D156F0" w14:textId="7CD3452F" w:rsidR="00926750" w:rsidRDefault="00C71BBB">
      <w:pPr>
        <w:rPr>
          <w:rFonts w:ascii="Calibri" w:eastAsiaTheme="majorEastAsia" w:hAnsi="Calibri" w:cstheme="majorBidi"/>
          <w:b/>
          <w:color w:val="61207F"/>
          <w:sz w:val="24"/>
          <w:szCs w:val="32"/>
        </w:rPr>
      </w:pPr>
      <w:r w:rsidRPr="003A5F19">
        <w:t xml:space="preserve">The </w:t>
      </w:r>
      <w:r w:rsidR="00AE3F19" w:rsidRPr="003A5F19">
        <w:t>Fund</w:t>
      </w:r>
      <w:r w:rsidRPr="003A5F19">
        <w:t>’s Admission</w:t>
      </w:r>
      <w:r w:rsidR="00BC09B2" w:rsidRPr="003A5F19">
        <w:t>s</w:t>
      </w:r>
      <w:r w:rsidRPr="003A5F19">
        <w:t xml:space="preserve"> bulk transfer</w:t>
      </w:r>
      <w:r w:rsidR="00BC09B2" w:rsidRPr="003A5F19">
        <w:t>s</w:t>
      </w:r>
      <w:r w:rsidRPr="003A5F19">
        <w:t xml:space="preserve"> policy is available </w:t>
      </w:r>
      <w:hyperlink r:id="rId23" w:history="1">
        <w:r w:rsidRPr="003A5F19">
          <w:rPr>
            <w:rStyle w:val="Hyperlink"/>
          </w:rPr>
          <w:t>here</w:t>
        </w:r>
      </w:hyperlink>
      <w:r w:rsidRPr="003A5F19">
        <w:t>.</w:t>
      </w:r>
      <w:bookmarkStart w:id="47" w:name="_Toc194482890"/>
    </w:p>
    <w:p w14:paraId="45A0AA25" w14:textId="476E76D3" w:rsidR="005916FB" w:rsidRDefault="005916FB" w:rsidP="005916FB">
      <w:pPr>
        <w:pStyle w:val="Heading1"/>
      </w:pPr>
      <w:r>
        <w:t xml:space="preserve">7. What happens when an employer leaves the </w:t>
      </w:r>
      <w:r w:rsidR="00AE3F19">
        <w:t>Fund</w:t>
      </w:r>
      <w:r>
        <w:t>?</w:t>
      </w:r>
      <w:bookmarkEnd w:id="47"/>
    </w:p>
    <w:p w14:paraId="1D1F0C4E" w14:textId="0D550F7A" w:rsidR="005916FB" w:rsidRDefault="005916FB" w:rsidP="005916FB">
      <w:pPr>
        <w:pStyle w:val="Heading2"/>
      </w:pPr>
      <w:bookmarkStart w:id="48" w:name="_Toc194482891"/>
      <w:r>
        <w:t>7.1 What is a cessation event?</w:t>
      </w:r>
      <w:bookmarkEnd w:id="48"/>
    </w:p>
    <w:p w14:paraId="60D22DDA" w14:textId="77A2E3ED" w:rsidR="005916FB" w:rsidRDefault="005916FB" w:rsidP="005916FB">
      <w:r>
        <w:t xml:space="preserve">Triggers for considering cessation from the </w:t>
      </w:r>
      <w:r w:rsidR="00AE3F19">
        <w:t>Fund</w:t>
      </w:r>
      <w:r>
        <w:t xml:space="preserve"> are:</w:t>
      </w:r>
      <w:r w:rsidR="00AE3F19">
        <w:t xml:space="preserve"> </w:t>
      </w:r>
    </w:p>
    <w:p w14:paraId="117308A3" w14:textId="3C0253C6" w:rsidR="005916FB" w:rsidRDefault="005916FB" w:rsidP="00A237C4">
      <w:pPr>
        <w:pStyle w:val="ListParagraph"/>
        <w:numPr>
          <w:ilvl w:val="0"/>
          <w:numId w:val="29"/>
        </w:numPr>
      </w:pPr>
      <w:r>
        <w:t xml:space="preserve">the last active member stops participation in the </w:t>
      </w:r>
      <w:r w:rsidR="00AE3F19">
        <w:t>Fund</w:t>
      </w:r>
      <w:r>
        <w:t>. The administering authority, at their discretion, can defer acting for up to three years by issuing a suspension notice. That means cessation won’t be triggered if the employer takes on one or more active members during the agreed time</w:t>
      </w:r>
    </w:p>
    <w:p w14:paraId="3EDF7EC2" w14:textId="77777777" w:rsidR="005916FB" w:rsidRDefault="005916FB" w:rsidP="00A237C4">
      <w:pPr>
        <w:pStyle w:val="ListParagraph"/>
        <w:numPr>
          <w:ilvl w:val="0"/>
          <w:numId w:val="29"/>
        </w:numPr>
      </w:pPr>
      <w:r>
        <w:t>insolvency, winding up or liquidation of the admission body</w:t>
      </w:r>
    </w:p>
    <w:p w14:paraId="3320002B" w14:textId="09ABC7CE" w:rsidR="005916FB" w:rsidRDefault="005916FB" w:rsidP="00A237C4">
      <w:pPr>
        <w:pStyle w:val="ListParagraph"/>
        <w:numPr>
          <w:ilvl w:val="0"/>
          <w:numId w:val="29"/>
        </w:numPr>
      </w:pPr>
      <w:r>
        <w:t xml:space="preserve">a breach of the agreement obligations that isn’t remedied to the </w:t>
      </w:r>
      <w:r w:rsidR="00AE3F19">
        <w:t>Fund</w:t>
      </w:r>
      <w:r>
        <w:t xml:space="preserve">’s satisfaction </w:t>
      </w:r>
    </w:p>
    <w:p w14:paraId="785770F0" w14:textId="77777777" w:rsidR="005916FB" w:rsidRDefault="005916FB" w:rsidP="00A237C4">
      <w:pPr>
        <w:pStyle w:val="ListParagraph"/>
        <w:numPr>
          <w:ilvl w:val="0"/>
          <w:numId w:val="29"/>
        </w:numPr>
      </w:pPr>
      <w:r>
        <w:t xml:space="preserve">failure to pay any sums due within the period required </w:t>
      </w:r>
    </w:p>
    <w:p w14:paraId="7E5307E7" w14:textId="660F69B7" w:rsidR="005916FB" w:rsidRDefault="005916FB" w:rsidP="00A237C4">
      <w:pPr>
        <w:pStyle w:val="ListParagraph"/>
        <w:numPr>
          <w:ilvl w:val="0"/>
          <w:numId w:val="29"/>
        </w:numPr>
      </w:pPr>
      <w:r>
        <w:t>failure to renew or adjust the level of a bond or indemnity, or to confirm an appropriate alternative guarantor</w:t>
      </w:r>
    </w:p>
    <w:p w14:paraId="133F8042" w14:textId="16030543" w:rsidR="005916FB" w:rsidRDefault="005916FB" w:rsidP="005916FB">
      <w:r>
        <w:t xml:space="preserve">On cessation, the employer may be permitted to enter into a deferred debt arrangement (DDA) and become a deferred employer in the </w:t>
      </w:r>
      <w:r w:rsidR="00AE3F19">
        <w:t>Fund</w:t>
      </w:r>
      <w:r>
        <w:t xml:space="preserve"> (as detailed in section 7.3).</w:t>
      </w:r>
      <w:r w:rsidR="00AE3F19">
        <w:t xml:space="preserve"> </w:t>
      </w:r>
      <w:r>
        <w:t xml:space="preserve">If no DDA exists, the administering authority will instruct the </w:t>
      </w:r>
      <w:r w:rsidR="00AE3F19">
        <w:t>Fund</w:t>
      </w:r>
      <w:r>
        <w:t xml:space="preserve"> actuary to carry out a cessation valuation to calculate if there is a surplus or a deficit when the employer leaves the scheme.</w:t>
      </w:r>
      <w:r w:rsidR="00AE3F19">
        <w:t xml:space="preserve"> </w:t>
      </w:r>
    </w:p>
    <w:p w14:paraId="57826021" w14:textId="5BB34AD4" w:rsidR="005916FB" w:rsidRDefault="005916FB" w:rsidP="005916FB">
      <w:pPr>
        <w:pStyle w:val="Heading2"/>
      </w:pPr>
      <w:bookmarkStart w:id="49" w:name="_Toc194482892"/>
      <w:r>
        <w:t>7.2 What happens on a cessation?</w:t>
      </w:r>
      <w:bookmarkEnd w:id="49"/>
    </w:p>
    <w:p w14:paraId="0AC11590" w14:textId="77777777" w:rsidR="007840CB" w:rsidRDefault="007840CB" w:rsidP="007840CB">
      <w:pPr>
        <w:pStyle w:val="BodyTextGrey"/>
        <w:rPr>
          <w:rFonts w:asciiTheme="minorHAnsi" w:hAnsiTheme="minorHAnsi" w:cstheme="minorHAnsi"/>
          <w:color w:val="auto"/>
          <w:sz w:val="22"/>
          <w:szCs w:val="22"/>
        </w:rPr>
      </w:pPr>
      <w:r w:rsidRPr="007840CB">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3E5B694E" w14:textId="3B97B4B1" w:rsidR="00AA2CBB" w:rsidRPr="001E179F" w:rsidRDefault="00AA2CBB" w:rsidP="001E179F">
      <w:pPr>
        <w:pStyle w:val="Heading3"/>
      </w:pPr>
      <w:r w:rsidRPr="001E179F">
        <w:t>Employers with no guarantee</w:t>
      </w:r>
    </w:p>
    <w:p w14:paraId="0561B528" w14:textId="2FB58D35" w:rsidR="005916FB" w:rsidRDefault="007840CB" w:rsidP="007840CB">
      <w:r>
        <w:t>W</w:t>
      </w:r>
      <w:r w:rsidRPr="00426E01">
        <w:t xml:space="preserve">hen an employer ceases participation in the </w:t>
      </w:r>
      <w:r>
        <w:t>f</w:t>
      </w:r>
      <w:r w:rsidRPr="00426E01">
        <w:t xml:space="preserve">und with no guarantor, the LGPS Regulations suggest that any future deficit arising should be met via increased contributions from all other employers in the </w:t>
      </w:r>
      <w:r>
        <w:t>f</w:t>
      </w:r>
      <w:r w:rsidRPr="00426E01">
        <w:t>und</w:t>
      </w:r>
      <w:r>
        <w:t xml:space="preserve">. </w:t>
      </w:r>
      <w:r w:rsidR="005916FB">
        <w:t xml:space="preserve">The administering authority </w:t>
      </w:r>
      <w:r>
        <w:t xml:space="preserve">therefore </w:t>
      </w:r>
      <w:r w:rsidR="005916FB">
        <w:t xml:space="preserve">must protect the interests of the remaining </w:t>
      </w:r>
      <w:r w:rsidR="00AE3F19">
        <w:t>Fund</w:t>
      </w:r>
      <w:r w:rsidR="005916FB">
        <w:t xml:space="preserve"> employers when an employer </w:t>
      </w:r>
      <w:r>
        <w:t>ceases</w:t>
      </w:r>
      <w:r w:rsidR="005916FB">
        <w:t>. The actuary aims to protect remaining employers from the risk of future loss</w:t>
      </w:r>
      <w:r>
        <w:t xml:space="preserve"> within the cessation valuation</w:t>
      </w:r>
      <w:r w:rsidR="005916FB">
        <w:t>.</w:t>
      </w:r>
      <w:r w:rsidR="00AE3F19">
        <w:t xml:space="preserve"> </w:t>
      </w:r>
      <w:r w:rsidR="007B3982">
        <w:t>T</w:t>
      </w:r>
      <w:r w:rsidR="005916FB" w:rsidRPr="009505F1">
        <w:t xml:space="preserve">he </w:t>
      </w:r>
      <w:r w:rsidR="009505F1" w:rsidRPr="003A5F19">
        <w:t>basis</w:t>
      </w:r>
      <w:r w:rsidR="009505F1" w:rsidRPr="009505F1">
        <w:t xml:space="preserve"> </w:t>
      </w:r>
      <w:r w:rsidR="005916FB" w:rsidRPr="009505F1">
        <w:t>adopted for the cessation calculation is below</w:t>
      </w:r>
      <w:r w:rsidR="005916FB">
        <w:t>. The</w:t>
      </w:r>
      <w:r>
        <w:t xml:space="preserve">re is further information </w:t>
      </w:r>
      <w:r w:rsidR="005916FB">
        <w:t xml:space="preserve">in </w:t>
      </w:r>
      <w:r>
        <w:t>the cessation policy.</w:t>
      </w:r>
      <w:r w:rsidR="005916FB">
        <w:t xml:space="preserve"> </w:t>
      </w:r>
    </w:p>
    <w:p w14:paraId="2D9E0B26" w14:textId="53254020" w:rsidR="00C41BDE" w:rsidRPr="00C41BDE" w:rsidRDefault="007B3982" w:rsidP="00C41BDE">
      <w:pPr>
        <w:pStyle w:val="BodyTextGrey"/>
        <w:rPr>
          <w:rFonts w:asciiTheme="minorHAnsi" w:eastAsiaTheme="minorHAnsi" w:hAnsiTheme="minorHAnsi" w:cstheme="minorBidi"/>
          <w:iCs w:val="0"/>
          <w:color w:val="auto"/>
          <w:sz w:val="22"/>
          <w:szCs w:val="22"/>
        </w:rPr>
      </w:pPr>
      <w:bookmarkStart w:id="50" w:name="_Hlk118730318"/>
      <w:r>
        <w:rPr>
          <w:rFonts w:asciiTheme="minorHAnsi" w:eastAsiaTheme="minorHAnsi" w:hAnsiTheme="minorHAnsi" w:cstheme="minorBidi"/>
          <w:iCs w:val="0"/>
          <w:color w:val="auto"/>
          <w:sz w:val="22"/>
          <w:szCs w:val="22"/>
        </w:rPr>
        <w:lastRenderedPageBreak/>
        <w:t>W</w:t>
      </w:r>
      <w:r w:rsidR="00C41BDE" w:rsidRPr="00C41BDE">
        <w:rPr>
          <w:rFonts w:asciiTheme="minorHAnsi" w:eastAsiaTheme="minorHAnsi" w:hAnsiTheme="minorHAnsi" w:cstheme="minorBidi"/>
          <w:iCs w:val="0"/>
          <w:color w:val="auto"/>
          <w:sz w:val="22"/>
          <w:szCs w:val="22"/>
        </w:rPr>
        <w:t xml:space="preserve">hen carrying out the cessation valuation, the administering authority recognises the balance between protecting the fund and the potential for being overly prudent. </w:t>
      </w:r>
      <w:r w:rsidR="00487710">
        <w:rPr>
          <w:rFonts w:asciiTheme="minorHAnsi" w:eastAsiaTheme="minorHAnsi" w:hAnsiTheme="minorHAnsi" w:cstheme="minorBidi"/>
          <w:iCs w:val="0"/>
          <w:color w:val="auto"/>
          <w:sz w:val="22"/>
          <w:szCs w:val="22"/>
        </w:rPr>
        <w:t>T</w:t>
      </w:r>
      <w:r w:rsidR="00C41BDE" w:rsidRPr="00C41BDE">
        <w:rPr>
          <w:rFonts w:asciiTheme="minorHAnsi" w:eastAsiaTheme="minorHAnsi" w:hAnsiTheme="minorHAnsi" w:cstheme="minorBidi"/>
          <w:iCs w:val="0"/>
          <w:color w:val="auto"/>
          <w:sz w:val="22"/>
          <w:szCs w:val="22"/>
        </w:rPr>
        <w:t xml:space="preserve">he fund </w:t>
      </w:r>
      <w:r w:rsidR="00487710">
        <w:rPr>
          <w:rFonts w:asciiTheme="minorHAnsi" w:eastAsiaTheme="minorHAnsi" w:hAnsiTheme="minorHAnsi" w:cstheme="minorBidi"/>
          <w:iCs w:val="0"/>
          <w:color w:val="auto"/>
          <w:sz w:val="22"/>
          <w:szCs w:val="22"/>
        </w:rPr>
        <w:t xml:space="preserve">also </w:t>
      </w:r>
      <w:r w:rsidR="00C41BDE" w:rsidRPr="00C41BDE">
        <w:rPr>
          <w:rFonts w:asciiTheme="minorHAnsi" w:eastAsiaTheme="minorHAnsi" w:hAnsiTheme="minorHAnsi" w:cstheme="minorBidi"/>
          <w:iCs w:val="0"/>
          <w:color w:val="auto"/>
          <w:sz w:val="22"/>
          <w:szCs w:val="22"/>
        </w:rPr>
        <w:t xml:space="preserve">acknowledges the long-term and uncertain nature of pension funding. Therefore, for those employers exiting the Fund with no guarantor, when considering the amount of assets </w:t>
      </w:r>
      <w:r w:rsidR="00FB6A1B">
        <w:rPr>
          <w:rFonts w:asciiTheme="minorHAnsi" w:eastAsiaTheme="minorHAnsi" w:hAnsiTheme="minorHAnsi" w:cstheme="minorBidi"/>
          <w:iCs w:val="0"/>
          <w:color w:val="auto"/>
          <w:sz w:val="22"/>
          <w:szCs w:val="22"/>
        </w:rPr>
        <w:t xml:space="preserve">needed to be held in the Fund </w:t>
      </w:r>
      <w:r w:rsidR="00C41BDE" w:rsidRPr="00C41BDE">
        <w:rPr>
          <w:rFonts w:asciiTheme="minorHAnsi" w:eastAsiaTheme="minorHAnsi" w:hAnsiTheme="minorHAnsi" w:cstheme="minorBidi"/>
          <w:iCs w:val="0"/>
          <w:color w:val="auto"/>
          <w:sz w:val="22"/>
          <w:szCs w:val="22"/>
        </w:rPr>
        <w:t>to pay for its members’ benefits, the fund will consider an upper and lower amount (or “corridor”). In other words, an employer will be deemed to have a deficit if the assets are below the lower amount</w:t>
      </w:r>
      <w:r w:rsidR="00512A58">
        <w:rPr>
          <w:rFonts w:asciiTheme="minorHAnsi" w:eastAsiaTheme="minorHAnsi" w:hAnsiTheme="minorHAnsi" w:cstheme="minorBidi"/>
          <w:iCs w:val="0"/>
          <w:color w:val="auto"/>
          <w:sz w:val="22"/>
          <w:szCs w:val="22"/>
        </w:rPr>
        <w:t>. It will be deemed to have</w:t>
      </w:r>
      <w:r w:rsidR="00C41BDE" w:rsidRPr="00C41BDE">
        <w:rPr>
          <w:rFonts w:asciiTheme="minorHAnsi" w:eastAsiaTheme="minorHAnsi" w:hAnsiTheme="minorHAnsi" w:cstheme="minorBidi"/>
          <w:iCs w:val="0"/>
          <w:color w:val="auto"/>
          <w:sz w:val="22"/>
          <w:szCs w:val="22"/>
        </w:rPr>
        <w:t xml:space="preserve"> a surplus if the assets are above the higher amount</w:t>
      </w:r>
      <w:r w:rsidR="00F16B0C">
        <w:rPr>
          <w:rFonts w:asciiTheme="minorHAnsi" w:eastAsiaTheme="minorHAnsi" w:hAnsiTheme="minorHAnsi" w:cstheme="minorBidi"/>
          <w:iCs w:val="0"/>
          <w:color w:val="auto"/>
          <w:sz w:val="22"/>
          <w:szCs w:val="22"/>
        </w:rPr>
        <w:t>.</w:t>
      </w:r>
      <w:r w:rsidR="00C41BDE" w:rsidRPr="00C41BDE">
        <w:rPr>
          <w:rFonts w:asciiTheme="minorHAnsi" w:eastAsiaTheme="minorHAnsi" w:hAnsiTheme="minorHAnsi" w:cstheme="minorBidi"/>
          <w:iCs w:val="0"/>
          <w:color w:val="auto"/>
          <w:sz w:val="22"/>
          <w:szCs w:val="22"/>
        </w:rPr>
        <w:t xml:space="preserve"> </w:t>
      </w:r>
      <w:r w:rsidR="00F16B0C">
        <w:rPr>
          <w:rFonts w:asciiTheme="minorHAnsi" w:eastAsiaTheme="minorHAnsi" w:hAnsiTheme="minorHAnsi" w:cstheme="minorBidi"/>
          <w:iCs w:val="0"/>
          <w:color w:val="auto"/>
          <w:sz w:val="22"/>
          <w:szCs w:val="22"/>
        </w:rPr>
        <w:t>T</w:t>
      </w:r>
      <w:r w:rsidR="00C41BDE" w:rsidRPr="00C41BDE">
        <w:rPr>
          <w:rFonts w:asciiTheme="minorHAnsi" w:eastAsiaTheme="minorHAnsi" w:hAnsiTheme="minorHAnsi" w:cstheme="minorBidi"/>
          <w:iCs w:val="0"/>
          <w:color w:val="auto"/>
          <w:sz w:val="22"/>
          <w:szCs w:val="22"/>
        </w:rPr>
        <w:t>here will be no deficit or surplus if a ceasing employers assets fall within the “corridor”.</w:t>
      </w:r>
    </w:p>
    <w:p w14:paraId="234C5DF7" w14:textId="77777777" w:rsidR="009A1A5A" w:rsidRDefault="009A1A5A" w:rsidP="009A1A5A">
      <w:pPr>
        <w:rPr>
          <w:rFonts w:cstheme="minorHAnsi"/>
          <w:b/>
          <w:bCs/>
          <w:u w:val="single"/>
        </w:rPr>
      </w:pPr>
    </w:p>
    <w:p w14:paraId="6F725A8D" w14:textId="6FAB8CFB" w:rsidR="009A1A5A" w:rsidRPr="003A68FE" w:rsidRDefault="009A1A5A" w:rsidP="001E179F">
      <w:pPr>
        <w:pStyle w:val="Heading3"/>
      </w:pPr>
      <w:r w:rsidRPr="003A68FE">
        <w:t>TABS with a guarantee from another Scheme employer</w:t>
      </w:r>
    </w:p>
    <w:p w14:paraId="231E6FD2" w14:textId="1A959499" w:rsidR="00C41BDE" w:rsidRPr="00C41BDE" w:rsidRDefault="00C41BDE" w:rsidP="00C41BDE">
      <w:r w:rsidRPr="00C41BDE">
        <w:t xml:space="preserve">When considering the amount of assets </w:t>
      </w:r>
      <w:r w:rsidR="00ED6B44">
        <w:t xml:space="preserve">needed to be held </w:t>
      </w:r>
      <w:r w:rsidRPr="00C41BDE">
        <w:t>in the Fund to pay for its member’s benefits, the Fund will use the same approach to calculate the liabilities</w:t>
      </w:r>
      <w:r w:rsidR="00C050BC">
        <w:t xml:space="preserve"> (and hence initial assets)</w:t>
      </w:r>
      <w:r w:rsidRPr="00C41BDE">
        <w:t xml:space="preserve"> as used on entry to the Fund. </w:t>
      </w:r>
    </w:p>
    <w:bookmarkEnd w:id="50"/>
    <w:p w14:paraId="61B49BE9" w14:textId="77777777" w:rsidR="00C41BDE" w:rsidRPr="00C41BDE" w:rsidRDefault="00C41BDE" w:rsidP="00C41BDE">
      <w:r w:rsidRPr="00C41BDE">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Default="005916FB" w:rsidP="005916FB">
      <w:r>
        <w:t xml:space="preserve">The </w:t>
      </w:r>
      <w:r w:rsidR="00AE3F19">
        <w:t>Fund</w:t>
      </w:r>
      <w: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t>Fund</w:t>
      </w:r>
      <w:r>
        <w:t>.</w:t>
      </w:r>
      <w:r w:rsidR="00AE3F19">
        <w:t xml:space="preserve"> </w:t>
      </w:r>
    </w:p>
    <w:p w14:paraId="1CACB727" w14:textId="4E948C6B" w:rsidR="00C71BBB" w:rsidRDefault="00C71BBB" w:rsidP="00C71BBB">
      <w:r>
        <w:t xml:space="preserve">The </w:t>
      </w:r>
      <w:r w:rsidR="00AE3F19">
        <w:t>Fund</w:t>
      </w:r>
      <w:r>
        <w:t xml:space="preserve">’s </w:t>
      </w:r>
      <w:r w:rsidR="0042252C">
        <w:t>Cessations</w:t>
      </w:r>
      <w:r w:rsidRPr="00C71BBB">
        <w:t xml:space="preserve"> policy </w:t>
      </w:r>
      <w:r>
        <w:t xml:space="preserve">is available </w:t>
      </w:r>
      <w:hyperlink r:id="rId24" w:history="1">
        <w:r w:rsidRPr="00C71BBB">
          <w:rPr>
            <w:rStyle w:val="Hyperlink"/>
          </w:rPr>
          <w:t>here</w:t>
        </w:r>
      </w:hyperlink>
      <w:r>
        <w:t>.</w:t>
      </w:r>
    </w:p>
    <w:p w14:paraId="23A5DD5E" w14:textId="46A6120A" w:rsidR="005916FB" w:rsidRDefault="005916FB" w:rsidP="005916FB">
      <w:pPr>
        <w:pStyle w:val="Heading2"/>
      </w:pPr>
      <w:bookmarkStart w:id="51" w:name="_Toc194482893"/>
      <w:r>
        <w:t>7.3 How do employers repay cessation debts?</w:t>
      </w:r>
      <w:bookmarkEnd w:id="51"/>
    </w:p>
    <w:p w14:paraId="46A786ED" w14:textId="6FFBBF56" w:rsidR="005916FB" w:rsidRDefault="005916FB" w:rsidP="005916FB">
      <w:r>
        <w:t>If there is a deficit, full payment will usually be expected in a single lump sum or:</w:t>
      </w:r>
      <w:r w:rsidR="00AE3F19">
        <w:t xml:space="preserve"> </w:t>
      </w:r>
    </w:p>
    <w:p w14:paraId="77F02EB3" w14:textId="77727E75" w:rsidR="005B55BA" w:rsidRDefault="005916FB" w:rsidP="00A237C4">
      <w:pPr>
        <w:pStyle w:val="ListParagraph"/>
        <w:numPr>
          <w:ilvl w:val="0"/>
          <w:numId w:val="31"/>
        </w:numPr>
      </w:pPr>
      <w:r>
        <w:t xml:space="preserve">spread over an agreed </w:t>
      </w:r>
      <w:r w:rsidR="00C71BBB">
        <w:t>period if</w:t>
      </w:r>
      <w:r>
        <w:t xml:space="preserve"> the employer enters a debt spreading arrangemen</w:t>
      </w:r>
      <w:r w:rsidR="005B55BA">
        <w:t>t</w:t>
      </w:r>
    </w:p>
    <w:p w14:paraId="4A06F35E" w14:textId="7E6A3647" w:rsidR="005916FB" w:rsidRDefault="005916FB" w:rsidP="00A237C4">
      <w:pPr>
        <w:pStyle w:val="ListParagraph"/>
        <w:numPr>
          <w:ilvl w:val="0"/>
          <w:numId w:val="31"/>
        </w:numPr>
      </w:pPr>
      <w:r>
        <w:t xml:space="preserve">deferred to a later date based on market conditions at that time, if an exiting employer </w:t>
      </w:r>
      <w:r w:rsidR="00841F21">
        <w:t>enters</w:t>
      </w:r>
      <w:r>
        <w:t xml:space="preserve"> a deferred debt arrangement: it stays in the </w:t>
      </w:r>
      <w:r w:rsidR="00AE3F19">
        <w:t>Fund</w:t>
      </w:r>
      <w:r>
        <w:t xml:space="preserve"> and pays contributions until the cessation debt can be fully paid. Payments are reassessed at each formal valuation.</w:t>
      </w:r>
      <w:r w:rsidR="00AE3F19">
        <w:t xml:space="preserve"> </w:t>
      </w:r>
    </w:p>
    <w:p w14:paraId="28FB272A" w14:textId="66D04EB6" w:rsidR="00C71BBB" w:rsidRDefault="00C71BBB" w:rsidP="00C71BBB">
      <w:r>
        <w:t xml:space="preserve">The </w:t>
      </w:r>
      <w:r w:rsidR="00AE3F19">
        <w:t>Fund</w:t>
      </w:r>
      <w:r>
        <w:t xml:space="preserve">’s </w:t>
      </w:r>
      <w:r w:rsidR="0042252C">
        <w:t xml:space="preserve">Cessations </w:t>
      </w:r>
      <w:r w:rsidRPr="00C71BBB">
        <w:t xml:space="preserve">policy </w:t>
      </w:r>
      <w:r>
        <w:t xml:space="preserve">is available </w:t>
      </w:r>
      <w:hyperlink r:id="rId25" w:history="1">
        <w:r w:rsidRPr="00C71BBB">
          <w:rPr>
            <w:rStyle w:val="Hyperlink"/>
          </w:rPr>
          <w:t>here</w:t>
        </w:r>
      </w:hyperlink>
      <w:r>
        <w:t>.</w:t>
      </w:r>
    </w:p>
    <w:p w14:paraId="50074FF6" w14:textId="07968AB7" w:rsidR="005B55BA" w:rsidRDefault="005B55BA" w:rsidP="005B55BA">
      <w:pPr>
        <w:pStyle w:val="Heading2"/>
      </w:pPr>
      <w:bookmarkStart w:id="52" w:name="_Toc194482894"/>
      <w:r>
        <w:t>7.4 What if an employer has no active members?</w:t>
      </w:r>
      <w:bookmarkEnd w:id="52"/>
    </w:p>
    <w:p w14:paraId="4E852BBD" w14:textId="6381ADA7" w:rsidR="005B55BA" w:rsidRDefault="005B55BA" w:rsidP="005B55BA">
      <w:r>
        <w:t xml:space="preserve">When employers leave the </w:t>
      </w:r>
      <w:r w:rsidR="00AE3F19">
        <w:t>Fund</w:t>
      </w:r>
      <w:r>
        <w:t xml:space="preserve"> because their last active member has left, they may pay a cessation debt, receive an exit credit or enter a DDA/DSA. Beyond this they have no further obligation to the </w:t>
      </w:r>
      <w:r w:rsidR="00AE3F19">
        <w:t>Fund</w:t>
      </w:r>
      <w:r>
        <w:t xml:space="preserve"> and either:</w:t>
      </w:r>
      <w:r w:rsidR="00AE3F19">
        <w:t xml:space="preserve"> </w:t>
      </w:r>
    </w:p>
    <w:p w14:paraId="1F6C9F9C" w14:textId="0761BC5C" w:rsidR="005B55BA" w:rsidRDefault="005B55BA" w:rsidP="00A237C4">
      <w:pPr>
        <w:pStyle w:val="ListParagraph"/>
        <w:numPr>
          <w:ilvl w:val="0"/>
          <w:numId w:val="32"/>
        </w:numPr>
      </w:pPr>
      <w:r>
        <w:t xml:space="preserve">their asset share runs out before all ex-employees’ benefits have been paid. The other </w:t>
      </w:r>
      <w:r w:rsidR="00AE3F19">
        <w:t>Fund</w:t>
      </w:r>
      <w:r>
        <w:t xml:space="preserve"> employers will be required to contribute to the remaining benefits. The </w:t>
      </w:r>
      <w:r w:rsidR="00AE3F19">
        <w:t>Fund</w:t>
      </w:r>
      <w:r>
        <w:t xml:space="preserve"> actuary will portion the liabilities on a pro-rata basis at the formal valuation</w:t>
      </w:r>
    </w:p>
    <w:p w14:paraId="35543033" w14:textId="7DACD9F8" w:rsidR="005B55BA" w:rsidRDefault="005B55BA" w:rsidP="00A237C4">
      <w:pPr>
        <w:pStyle w:val="ListParagraph"/>
        <w:numPr>
          <w:ilvl w:val="0"/>
          <w:numId w:val="32"/>
        </w:numPr>
      </w:pPr>
      <w:r>
        <w:t xml:space="preserve">the last ex-employee or dependant dies before the employer’s asset share is fully run down. The </w:t>
      </w:r>
      <w:r w:rsidR="00AE3F19">
        <w:t>Fund</w:t>
      </w:r>
      <w:r>
        <w:t xml:space="preserve"> actuary will apportion the remaining assets to the other </w:t>
      </w:r>
      <w:r w:rsidR="00AE3F19">
        <w:t>Fund</w:t>
      </w:r>
      <w:r>
        <w:t xml:space="preserve"> employers on a pro-rata basis at the formal valuation.</w:t>
      </w:r>
    </w:p>
    <w:p w14:paraId="652B37BB" w14:textId="4A5CAF9E" w:rsidR="005B55BA" w:rsidRDefault="005B55BA" w:rsidP="005B55BA">
      <w:pPr>
        <w:pStyle w:val="Heading2"/>
      </w:pPr>
      <w:bookmarkStart w:id="53" w:name="_Toc194482895"/>
      <w:r>
        <w:t>7.5 What happens if there is a surplus?</w:t>
      </w:r>
      <w:bookmarkEnd w:id="53"/>
    </w:p>
    <w:p w14:paraId="6D63511F" w14:textId="4BB131A9" w:rsidR="005B55BA" w:rsidRDefault="005B55BA" w:rsidP="005B55BA">
      <w:r>
        <w:t>If the cessation valuation shows the exiting employer has more assets than liabilities</w:t>
      </w:r>
      <w:r w:rsidR="000C0340">
        <w:t>,</w:t>
      </w:r>
      <w:r>
        <w:t xml:space="preserve"> then an exit credit may be payable </w:t>
      </w:r>
      <w:r w:rsidR="00AD697B">
        <w:t>T</w:t>
      </w:r>
      <w:r>
        <w:t xml:space="preserve">he administering authority can decide how much (if anything) will be paid back to the employer based on: </w:t>
      </w:r>
    </w:p>
    <w:p w14:paraId="0931C6EC" w14:textId="77777777" w:rsidR="005B55BA" w:rsidRDefault="005B55BA" w:rsidP="00A237C4">
      <w:pPr>
        <w:pStyle w:val="ListParagraph"/>
        <w:numPr>
          <w:ilvl w:val="0"/>
          <w:numId w:val="33"/>
        </w:numPr>
      </w:pPr>
      <w:r>
        <w:lastRenderedPageBreak/>
        <w:t>the surplus amount</w:t>
      </w:r>
    </w:p>
    <w:p w14:paraId="17B460FB" w14:textId="77777777" w:rsidR="005B55BA" w:rsidRDefault="005B55BA" w:rsidP="00A237C4">
      <w:pPr>
        <w:pStyle w:val="ListParagraph"/>
        <w:numPr>
          <w:ilvl w:val="0"/>
          <w:numId w:val="33"/>
        </w:numPr>
      </w:pPr>
      <w:r>
        <w:t>the proportion of the surplus due to the employer’s contributions</w:t>
      </w:r>
    </w:p>
    <w:p w14:paraId="73A500F0" w14:textId="77777777" w:rsidR="005B55BA" w:rsidRDefault="005B55BA" w:rsidP="00A237C4">
      <w:pPr>
        <w:pStyle w:val="ListParagraph"/>
        <w:numPr>
          <w:ilvl w:val="0"/>
          <w:numId w:val="33"/>
        </w:numPr>
      </w:pPr>
      <w:r>
        <w:t>any representations (like risk sharing agreements or guarantees) made by the exiting employer and any employer providing a guarantee or some other form of employer assistance/support</w:t>
      </w:r>
    </w:p>
    <w:p w14:paraId="0447F355" w14:textId="13BDCE6E" w:rsidR="005B55BA" w:rsidRDefault="005B55BA" w:rsidP="00A237C4">
      <w:pPr>
        <w:pStyle w:val="ListParagraph"/>
        <w:numPr>
          <w:ilvl w:val="0"/>
          <w:numId w:val="33"/>
        </w:numPr>
      </w:pPr>
      <w:r>
        <w:t xml:space="preserve">any other relevant factors. </w:t>
      </w:r>
    </w:p>
    <w:p w14:paraId="555E6137" w14:textId="7DC3BE60" w:rsidR="002A30B2" w:rsidRDefault="002A30B2" w:rsidP="002A30B2">
      <w:r>
        <w:t xml:space="preserve">The </w:t>
      </w:r>
      <w:r w:rsidR="00AE3F19">
        <w:t>Fund</w:t>
      </w:r>
      <w:r>
        <w:t xml:space="preserve">’s </w:t>
      </w:r>
      <w:r w:rsidR="0042252C">
        <w:t xml:space="preserve">Cessations </w:t>
      </w:r>
      <w:r w:rsidRPr="00C71BBB">
        <w:t xml:space="preserve">policy </w:t>
      </w:r>
      <w:r>
        <w:t xml:space="preserve">is available </w:t>
      </w:r>
      <w:hyperlink r:id="rId26" w:history="1">
        <w:r w:rsidRPr="00C71BBB">
          <w:rPr>
            <w:rStyle w:val="Hyperlink"/>
          </w:rPr>
          <w:t>here</w:t>
        </w:r>
      </w:hyperlink>
      <w:r>
        <w:t>.</w:t>
      </w:r>
    </w:p>
    <w:p w14:paraId="18CDAF21" w14:textId="25A2D5F8" w:rsidR="000108D0" w:rsidRDefault="000108D0" w:rsidP="00955DC5">
      <w:pPr>
        <w:pStyle w:val="Heading2"/>
        <w:rPr>
          <w:rFonts w:ascii="Arial" w:hAnsi="Arial" w:cs="Arial"/>
          <w:b w:val="0"/>
          <w:bCs/>
          <w:color w:val="455560"/>
          <w:sz w:val="22"/>
          <w:szCs w:val="22"/>
        </w:rPr>
      </w:pPr>
      <w:bookmarkStart w:id="54" w:name="_Toc194482896"/>
      <w:r>
        <w:t>7.6 Partial cessation</w:t>
      </w:r>
      <w:bookmarkEnd w:id="54"/>
    </w:p>
    <w:p w14:paraId="45E020E4" w14:textId="67CB0193" w:rsidR="00926750" w:rsidRDefault="003D64E4" w:rsidP="00F07C36">
      <w:pPr>
        <w:pStyle w:val="paragraph"/>
        <w:rPr>
          <w:rFonts w:ascii="Calibri" w:eastAsiaTheme="majorEastAsia" w:hAnsi="Calibri" w:cstheme="majorBidi"/>
          <w:b/>
          <w:color w:val="61207F"/>
          <w:szCs w:val="32"/>
        </w:rPr>
      </w:pPr>
      <w:r>
        <w:rPr>
          <w:rFonts w:asciiTheme="minorHAnsi" w:eastAsiaTheme="minorHAnsi" w:hAnsiTheme="minorHAnsi" w:cstheme="minorBidi"/>
          <w:sz w:val="22"/>
          <w:szCs w:val="22"/>
          <w:lang w:eastAsia="en-US"/>
        </w:rPr>
        <w:t xml:space="preserve">The fund will </w:t>
      </w:r>
      <w:r w:rsidR="00BC40A7">
        <w:rPr>
          <w:rFonts w:asciiTheme="minorHAnsi" w:eastAsiaTheme="minorHAnsi" w:hAnsiTheme="minorHAnsi" w:cstheme="minorBidi"/>
          <w:sz w:val="22"/>
          <w:szCs w:val="22"/>
          <w:lang w:eastAsia="en-US"/>
        </w:rPr>
        <w:t xml:space="preserve">generally not </w:t>
      </w:r>
      <w:r>
        <w:rPr>
          <w:rFonts w:asciiTheme="minorHAnsi" w:eastAsiaTheme="minorHAnsi" w:hAnsiTheme="minorHAnsi" w:cstheme="minorBidi"/>
          <w:sz w:val="22"/>
          <w:szCs w:val="22"/>
          <w:lang w:eastAsia="en-US"/>
        </w:rPr>
        <w:t>consider requests for partial cessations</w:t>
      </w:r>
      <w:r w:rsidR="00BC40A7">
        <w:rPr>
          <w:rFonts w:asciiTheme="minorHAnsi" w:eastAsiaTheme="minorHAnsi" w:hAnsiTheme="minorHAnsi" w:cstheme="minorBidi"/>
          <w:sz w:val="22"/>
          <w:szCs w:val="22"/>
          <w:lang w:eastAsia="en-US"/>
        </w:rPr>
        <w:t xml:space="preserve">, </w:t>
      </w:r>
      <w:r w:rsidR="00CF2653">
        <w:rPr>
          <w:rFonts w:asciiTheme="minorHAnsi" w:eastAsiaTheme="minorHAnsi" w:hAnsiTheme="minorHAnsi" w:cstheme="minorBidi"/>
          <w:sz w:val="22"/>
          <w:szCs w:val="22"/>
          <w:lang w:eastAsia="en-US"/>
        </w:rPr>
        <w:t>unless there is a permanent and significant change to the strength of employer covenant. Requests under such circumstances will be considered on</w:t>
      </w:r>
      <w:r>
        <w:rPr>
          <w:rFonts w:asciiTheme="minorHAnsi" w:eastAsiaTheme="minorHAnsi" w:hAnsiTheme="minorHAnsi" w:cstheme="minorBidi"/>
          <w:sz w:val="22"/>
          <w:szCs w:val="22"/>
          <w:lang w:eastAsia="en-US"/>
        </w:rPr>
        <w:t xml:space="preserve"> their merits on a </w:t>
      </w:r>
      <w:r w:rsidR="00B66D65">
        <w:rPr>
          <w:rFonts w:asciiTheme="minorHAnsi" w:eastAsiaTheme="minorHAnsi" w:hAnsiTheme="minorHAnsi" w:cstheme="minorBidi"/>
          <w:sz w:val="22"/>
          <w:szCs w:val="22"/>
          <w:lang w:eastAsia="en-US"/>
        </w:rPr>
        <w:t>case-by-case</w:t>
      </w:r>
      <w:r>
        <w:rPr>
          <w:rFonts w:asciiTheme="minorHAnsi" w:eastAsiaTheme="minorHAnsi" w:hAnsiTheme="minorHAnsi" w:cstheme="minorBidi"/>
          <w:sz w:val="22"/>
          <w:szCs w:val="22"/>
          <w:lang w:eastAsia="en-US"/>
        </w:rPr>
        <w:t xml:space="preserve"> basis. </w:t>
      </w:r>
      <w:bookmarkStart w:id="55" w:name="_Toc194482897"/>
    </w:p>
    <w:p w14:paraId="7C9DC4C8" w14:textId="0728DE2D" w:rsidR="005B55BA" w:rsidRDefault="005B55BA" w:rsidP="005B55BA">
      <w:pPr>
        <w:pStyle w:val="Heading1"/>
      </w:pPr>
      <w:r>
        <w:t>8. What are the statutory reporting requirements?</w:t>
      </w:r>
      <w:bookmarkEnd w:id="55"/>
    </w:p>
    <w:p w14:paraId="4DD129B3" w14:textId="5F4AD755" w:rsidR="005B55BA" w:rsidRDefault="005B55BA" w:rsidP="005B55BA">
      <w:pPr>
        <w:pStyle w:val="Heading2"/>
      </w:pPr>
      <w:bookmarkStart w:id="56" w:name="_Toc194482898"/>
      <w:r>
        <w:t>8.1 Reporting regulations</w:t>
      </w:r>
      <w:bookmarkEnd w:id="56"/>
    </w:p>
    <w:p w14:paraId="5533CE44" w14:textId="6D79EAD2" w:rsidR="005B55BA" w:rsidRDefault="005B55BA" w:rsidP="005B55BA">
      <w:r w:rsidRPr="005B55BA">
        <w:t xml:space="preserve">The Public Service Pensions Act 2013 requires the Government Actuary’s Department to report on LGPS </w:t>
      </w:r>
      <w:r w:rsidR="00AE3F19">
        <w:t>Fund</w:t>
      </w:r>
      <w:r w:rsidRPr="005B55BA">
        <w:t>s in England and Wales after every three-year valuation, in what’s usually called a Section 13 report. The report include</w:t>
      </w:r>
      <w:r w:rsidR="003D64E4">
        <w:t>s</w:t>
      </w:r>
      <w:r w:rsidRPr="005B55BA">
        <w:t xml:space="preserve"> </w:t>
      </w:r>
      <w:r w:rsidR="00B23637">
        <w:t xml:space="preserve">advice on </w:t>
      </w:r>
      <w:r w:rsidR="004B7511">
        <w:t xml:space="preserve">whether </w:t>
      </w:r>
      <w:r w:rsidR="009A1225">
        <w:t>t</w:t>
      </w:r>
      <w:r w:rsidR="004B7511">
        <w:t>he following aims are achieved</w:t>
      </w:r>
      <w:r w:rsidR="00F44064">
        <w:t>:</w:t>
      </w:r>
    </w:p>
    <w:p w14:paraId="3DE18507" w14:textId="5B28D093" w:rsidR="00F44064" w:rsidRDefault="00F44064" w:rsidP="00F44064">
      <w:pPr>
        <w:pStyle w:val="ListParagraph"/>
        <w:numPr>
          <w:ilvl w:val="0"/>
          <w:numId w:val="51"/>
        </w:numPr>
      </w:pPr>
      <w:r>
        <w:t>Compliance</w:t>
      </w:r>
    </w:p>
    <w:p w14:paraId="00C0C0AD" w14:textId="6B496B40" w:rsidR="00F44064" w:rsidRDefault="00F44064" w:rsidP="00F44064">
      <w:pPr>
        <w:pStyle w:val="ListParagraph"/>
        <w:numPr>
          <w:ilvl w:val="0"/>
          <w:numId w:val="51"/>
        </w:numPr>
      </w:pPr>
      <w:r>
        <w:t>Consistency</w:t>
      </w:r>
    </w:p>
    <w:p w14:paraId="170B7D49" w14:textId="10A16A39" w:rsidR="00F44064" w:rsidRDefault="00F44064" w:rsidP="00F44064">
      <w:pPr>
        <w:pStyle w:val="ListParagraph"/>
        <w:numPr>
          <w:ilvl w:val="0"/>
          <w:numId w:val="51"/>
        </w:numPr>
      </w:pPr>
      <w:r>
        <w:t>Solvency</w:t>
      </w:r>
    </w:p>
    <w:p w14:paraId="4D0DE863" w14:textId="04472949" w:rsidR="00F44064" w:rsidRDefault="009B354E" w:rsidP="00A47DA6">
      <w:pPr>
        <w:pStyle w:val="ListParagraph"/>
        <w:numPr>
          <w:ilvl w:val="0"/>
          <w:numId w:val="51"/>
        </w:numPr>
      </w:pPr>
      <w:r>
        <w:t>Long term cost efficiency</w:t>
      </w:r>
    </w:p>
    <w:p w14:paraId="06EE7525" w14:textId="5D504F3C" w:rsidR="005B55BA" w:rsidRDefault="005B55BA" w:rsidP="005B55BA">
      <w:pPr>
        <w:pStyle w:val="Heading2"/>
      </w:pPr>
      <w:bookmarkStart w:id="57" w:name="_Toc194482899"/>
      <w:r>
        <w:t>8.2 Solvency</w:t>
      </w:r>
      <w:bookmarkEnd w:id="57"/>
    </w:p>
    <w:p w14:paraId="3CB6632E" w14:textId="7AF0F232" w:rsidR="005B55BA" w:rsidRDefault="005B55BA" w:rsidP="005B55BA">
      <w:r>
        <w:t xml:space="preserve">Employer contributions are set at an appropriate solvency level if the rate of contribution targets a </w:t>
      </w:r>
      <w:r w:rsidR="00AE3F19">
        <w:t>Fund</w:t>
      </w:r>
      <w:r>
        <w:t xml:space="preserve">ing level of 100% over an appropriate time, using appropriate assumptions compared to other </w:t>
      </w:r>
      <w:r w:rsidR="00AE3F19">
        <w:t>Fund</w:t>
      </w:r>
      <w:r>
        <w:t>s. Either:</w:t>
      </w:r>
      <w:r w:rsidR="00AE3F19">
        <w:t xml:space="preserve"> </w:t>
      </w:r>
    </w:p>
    <w:p w14:paraId="3C07C297" w14:textId="122335D9" w:rsidR="005B55BA" w:rsidRDefault="005B55BA" w:rsidP="005B55BA">
      <w:pPr>
        <w:pStyle w:val="ListParagraph"/>
        <w:numPr>
          <w:ilvl w:val="0"/>
          <w:numId w:val="34"/>
        </w:numPr>
      </w:pPr>
      <w:r>
        <w:t xml:space="preserve">employers collectively can increase their contributions, or the </w:t>
      </w:r>
      <w:r w:rsidR="00AE3F19">
        <w:t>Fund</w:t>
      </w:r>
      <w:r>
        <w:t xml:space="preserve"> can realise contingencies to target a 100% </w:t>
      </w:r>
      <w:r w:rsidR="00AE3F19">
        <w:t>Fund</w:t>
      </w:r>
      <w:r>
        <w:t>ing level</w:t>
      </w:r>
    </w:p>
    <w:p w14:paraId="10C0DD65" w14:textId="77777777" w:rsidR="005B55BA" w:rsidRDefault="005B55BA" w:rsidP="005B55BA">
      <w:r>
        <w:t>or</w:t>
      </w:r>
    </w:p>
    <w:p w14:paraId="6CFC992B" w14:textId="701E7455" w:rsidR="005B55BA" w:rsidRDefault="005B55BA" w:rsidP="005B55BA">
      <w:pPr>
        <w:pStyle w:val="ListParagraph"/>
        <w:numPr>
          <w:ilvl w:val="0"/>
          <w:numId w:val="34"/>
        </w:numPr>
      </w:pPr>
      <w:r>
        <w:t>there is an appropriate plan in place if there is, or is expected to be, a reduction in employers’ ability to increase contributions as needed.</w:t>
      </w:r>
    </w:p>
    <w:p w14:paraId="5B61C701" w14:textId="294583DF" w:rsidR="005B55BA" w:rsidRDefault="005B55BA" w:rsidP="005B55BA">
      <w:pPr>
        <w:pStyle w:val="Heading2"/>
      </w:pPr>
      <w:bookmarkStart w:id="58" w:name="_Toc194482900"/>
      <w:r>
        <w:t>8.3 Long term cost efficiency</w:t>
      </w:r>
      <w:bookmarkEnd w:id="58"/>
    </w:p>
    <w:p w14:paraId="2F23A0D4" w14:textId="77777777" w:rsidR="005B55BA" w:rsidRDefault="005B55BA" w:rsidP="005B55BA">
      <w: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Default="005B55BA" w:rsidP="005B55BA">
      <w:r>
        <w:t xml:space="preserve">To assess this, the administering authority may consider absolute and relative factors. </w:t>
      </w:r>
    </w:p>
    <w:p w14:paraId="46E78C26" w14:textId="77777777" w:rsidR="005B55BA" w:rsidRDefault="005B55BA" w:rsidP="005B55BA">
      <w:r>
        <w:t>Relative factors include:</w:t>
      </w:r>
    </w:p>
    <w:p w14:paraId="6E40BBE2" w14:textId="7AF72233" w:rsidR="005B55BA" w:rsidRDefault="005B55BA" w:rsidP="00A237C4">
      <w:pPr>
        <w:pStyle w:val="ListParagraph"/>
        <w:numPr>
          <w:ilvl w:val="0"/>
          <w:numId w:val="36"/>
        </w:numPr>
      </w:pPr>
      <w:r>
        <w:t xml:space="preserve">comparing LGPS </w:t>
      </w:r>
      <w:r w:rsidR="00AE3F19">
        <w:t>Fund</w:t>
      </w:r>
      <w:r>
        <w:t>s with each other</w:t>
      </w:r>
    </w:p>
    <w:p w14:paraId="31C1DCC5" w14:textId="77777777" w:rsidR="005B55BA" w:rsidRDefault="005B55BA" w:rsidP="00A237C4">
      <w:pPr>
        <w:pStyle w:val="ListParagraph"/>
        <w:numPr>
          <w:ilvl w:val="0"/>
          <w:numId w:val="36"/>
        </w:numPr>
      </w:pPr>
      <w:r>
        <w:t>the implied deficit recovery period</w:t>
      </w:r>
    </w:p>
    <w:p w14:paraId="246416DD" w14:textId="6199CCDE" w:rsidR="005B55BA" w:rsidRDefault="005B55BA" w:rsidP="00A237C4">
      <w:pPr>
        <w:pStyle w:val="ListParagraph"/>
        <w:numPr>
          <w:ilvl w:val="0"/>
          <w:numId w:val="36"/>
        </w:numPr>
      </w:pPr>
      <w:r>
        <w:t xml:space="preserve">the investment return required to achieve full </w:t>
      </w:r>
      <w:r w:rsidR="00AE3F19">
        <w:t>Fund</w:t>
      </w:r>
      <w:r>
        <w:t xml:space="preserve">ing after 20 years. </w:t>
      </w:r>
    </w:p>
    <w:p w14:paraId="2ECDE903" w14:textId="77777777" w:rsidR="005B55BA" w:rsidRDefault="005B55BA" w:rsidP="005B55BA">
      <w:r>
        <w:t>Absolute factors include:</w:t>
      </w:r>
    </w:p>
    <w:p w14:paraId="1B2FDFBF" w14:textId="35E25160" w:rsidR="005B55BA" w:rsidRDefault="005B55BA" w:rsidP="00A237C4">
      <w:pPr>
        <w:pStyle w:val="ListParagraph"/>
        <w:numPr>
          <w:ilvl w:val="0"/>
          <w:numId w:val="37"/>
        </w:numPr>
      </w:pPr>
      <w:r>
        <w:t xml:space="preserve">comparing </w:t>
      </w:r>
      <w:r w:rsidR="00AE3F19">
        <w:t>Fund</w:t>
      </w:r>
      <w:r>
        <w:t>s with an objective benchmark</w:t>
      </w:r>
    </w:p>
    <w:p w14:paraId="2F4D2023" w14:textId="77777777" w:rsidR="005B55BA" w:rsidRDefault="005B55BA" w:rsidP="00A237C4">
      <w:pPr>
        <w:pStyle w:val="ListParagraph"/>
        <w:numPr>
          <w:ilvl w:val="0"/>
          <w:numId w:val="37"/>
        </w:numPr>
      </w:pPr>
      <w:r>
        <w:lastRenderedPageBreak/>
        <w:t>the extent to which contributions will cover the cost of current benefit accrual and interest on any deficit</w:t>
      </w:r>
    </w:p>
    <w:p w14:paraId="17F75E40" w14:textId="77777777" w:rsidR="005B55BA" w:rsidRDefault="005B55BA" w:rsidP="00A237C4">
      <w:pPr>
        <w:pStyle w:val="ListParagraph"/>
        <w:numPr>
          <w:ilvl w:val="0"/>
          <w:numId w:val="37"/>
        </w:numPr>
      </w:pPr>
      <w:r>
        <w:t>how the required investment return under relative considerations compares to the estimated future return targeted by the investment strategy</w:t>
      </w:r>
    </w:p>
    <w:p w14:paraId="17ADD556" w14:textId="77777777" w:rsidR="005B55BA" w:rsidRDefault="005B55BA" w:rsidP="00A237C4">
      <w:pPr>
        <w:pStyle w:val="ListParagraph"/>
        <w:numPr>
          <w:ilvl w:val="0"/>
          <w:numId w:val="37"/>
        </w:numPr>
      </w:pPr>
      <w:r>
        <w:t xml:space="preserve">the extent to which contributions paid are in line with expected contributions, based on the rates and adjustment certificate </w:t>
      </w:r>
    </w:p>
    <w:p w14:paraId="5EA09400" w14:textId="50293D89" w:rsidR="005B55BA" w:rsidRDefault="005B55BA" w:rsidP="00A237C4">
      <w:pPr>
        <w:pStyle w:val="ListParagraph"/>
        <w:numPr>
          <w:ilvl w:val="0"/>
          <w:numId w:val="37"/>
        </w:numPr>
      </w:pPr>
      <w:r>
        <w:t xml:space="preserve">how any new deficit recovery plan reconciles with, and can be a continuation of, any previous deficit recovery plan, allowing for </w:t>
      </w:r>
      <w:r w:rsidR="00AE3F19">
        <w:t>Fund</w:t>
      </w:r>
      <w:r>
        <w:t xml:space="preserve"> experience. </w:t>
      </w:r>
    </w:p>
    <w:p w14:paraId="6AE0DD0C" w14:textId="4F849ACF" w:rsidR="005B55BA" w:rsidRDefault="005B55BA" w:rsidP="005B55BA">
      <w:r>
        <w:t xml:space="preserve">These metrics may be assessed by GAD on a standardised market-related basis where the </w:t>
      </w:r>
      <w:r w:rsidR="00AE3F19">
        <w:t>Fund</w:t>
      </w:r>
      <w:r>
        <w:t>’s actuarial bases don’t offer straightforward comparisons.</w:t>
      </w:r>
      <w:r w:rsidR="00AE3F19">
        <w:t xml:space="preserve"> </w:t>
      </w:r>
    </w:p>
    <w:p w14:paraId="16F855C3" w14:textId="0B045755" w:rsidR="009641C5" w:rsidRDefault="009641C5" w:rsidP="005B55BA">
      <w:r w:rsidRPr="00A47DA6">
        <w:t>Standard information about the fund’s approach to solvency of the pension fund and long-term cost efficiency will be provided in a uniform dashboard format in the valuation report to facilitate comparisons between funds. </w:t>
      </w:r>
    </w:p>
    <w:p w14:paraId="1824A324" w14:textId="50934F68" w:rsidR="005B55BA" w:rsidRDefault="005B55BA">
      <w:r>
        <w:br w:type="page"/>
      </w:r>
    </w:p>
    <w:p w14:paraId="3E5A2385" w14:textId="4D45C8BE" w:rsidR="005B55BA" w:rsidRDefault="00731903" w:rsidP="00731903">
      <w:pPr>
        <w:pStyle w:val="Heading1"/>
      </w:pPr>
      <w:bookmarkStart w:id="59" w:name="_Toc194482901"/>
      <w:r>
        <w:lastRenderedPageBreak/>
        <w:t>Appendices</w:t>
      </w:r>
      <w:bookmarkEnd w:id="59"/>
    </w:p>
    <w:p w14:paraId="0932ED14" w14:textId="44A9DB45" w:rsidR="00731903" w:rsidRDefault="00731903" w:rsidP="00731903">
      <w:pPr>
        <w:pStyle w:val="Heading2"/>
      </w:pPr>
      <w:bookmarkStart w:id="60" w:name="_Appendix_A_–"/>
      <w:bookmarkStart w:id="61" w:name="_Toc194482902"/>
      <w:bookmarkEnd w:id="60"/>
      <w:r>
        <w:t xml:space="preserve">Appendix A – the </w:t>
      </w:r>
      <w:bookmarkEnd w:id="61"/>
      <w:r w:rsidR="003301EA">
        <w:t>legal framework</w:t>
      </w:r>
    </w:p>
    <w:p w14:paraId="50CF0F55" w14:textId="5597C61A" w:rsidR="00731903" w:rsidRPr="00731903" w:rsidRDefault="00731903" w:rsidP="00731903">
      <w:pPr>
        <w:pStyle w:val="Heading3"/>
      </w:pPr>
      <w:bookmarkStart w:id="62" w:name="_Toc194482903"/>
      <w:r w:rsidRPr="00731903">
        <w:t xml:space="preserve">A1 Why do </w:t>
      </w:r>
      <w:r w:rsidR="00AE3F19">
        <w:t>Fund</w:t>
      </w:r>
      <w:r w:rsidRPr="00731903">
        <w:t xml:space="preserve">s need a </w:t>
      </w:r>
      <w:r w:rsidR="00AE3F19">
        <w:t>Fund</w:t>
      </w:r>
      <w:r w:rsidRPr="00731903">
        <w:t>ing strategy statement?</w:t>
      </w:r>
      <w:bookmarkEnd w:id="62"/>
    </w:p>
    <w:p w14:paraId="7AD3B3A1" w14:textId="48FA2465" w:rsidR="00731903" w:rsidRPr="00731903" w:rsidRDefault="00731903" w:rsidP="00731903">
      <w:pPr>
        <w:rPr>
          <w:iCs/>
        </w:rPr>
      </w:pPr>
      <w:r w:rsidRPr="00731903">
        <w:rPr>
          <w:iCs/>
        </w:rPr>
        <w:t xml:space="preserve">The Local Government Pension Scheme (LGPS) regulations require </w:t>
      </w:r>
      <w:r w:rsidR="00AE3F19">
        <w:rPr>
          <w:iCs/>
        </w:rPr>
        <w:t>Fund</w:t>
      </w:r>
      <w:r w:rsidRPr="00731903">
        <w:rPr>
          <w:iCs/>
        </w:rPr>
        <w:t xml:space="preserve">s to maintain and publish a </w:t>
      </w:r>
      <w:r w:rsidR="00AE3F19">
        <w:rPr>
          <w:iCs/>
        </w:rPr>
        <w:t>Fund</w:t>
      </w:r>
      <w:r w:rsidRPr="00731903">
        <w:rPr>
          <w:iCs/>
        </w:rPr>
        <w:t xml:space="preserve">ing strategy statement (FSS). According to the </w:t>
      </w:r>
      <w:r w:rsidR="00C860FA" w:rsidRPr="00A47DA6">
        <w:rPr>
          <w:iCs/>
        </w:rPr>
        <w:t>Ministry for Housing, Communities and Local Government</w:t>
      </w:r>
      <w:r w:rsidR="00C860FA">
        <w:rPr>
          <w:rStyle w:val="normaltextrun"/>
          <w:rFonts w:ascii="Arial" w:hAnsi="Arial" w:cs="Arial"/>
          <w:color w:val="D13438"/>
          <w:sz w:val="20"/>
          <w:szCs w:val="20"/>
          <w:u w:val="single"/>
          <w:shd w:val="clear" w:color="auto" w:fill="FFFFFF"/>
        </w:rPr>
        <w:t xml:space="preserve"> </w:t>
      </w:r>
      <w:r w:rsidRPr="00731903">
        <w:rPr>
          <w:iCs/>
        </w:rPr>
        <w:t>(</w:t>
      </w:r>
      <w:r w:rsidR="00C860FA">
        <w:rPr>
          <w:iCs/>
        </w:rPr>
        <w:t>MHCLG</w:t>
      </w:r>
      <w:r w:rsidRPr="00731903">
        <w:rPr>
          <w:iCs/>
        </w:rPr>
        <w:t xml:space="preserve">) the purpose of the FSS is to document the processes the administering authority uses to: </w:t>
      </w:r>
    </w:p>
    <w:p w14:paraId="269F17E2" w14:textId="35B8B7ED" w:rsidR="00731903" w:rsidRPr="00731903" w:rsidRDefault="00731903" w:rsidP="00731903">
      <w:pPr>
        <w:numPr>
          <w:ilvl w:val="0"/>
          <w:numId w:val="23"/>
        </w:numPr>
        <w:rPr>
          <w:i/>
          <w:iCs/>
        </w:rPr>
      </w:pPr>
      <w:r w:rsidRPr="00731903">
        <w:rPr>
          <w:i/>
          <w:iCs/>
        </w:rPr>
        <w:t xml:space="preserve">establish a </w:t>
      </w:r>
      <w:r w:rsidRPr="00731903">
        <w:rPr>
          <w:b/>
          <w:i/>
          <w:iCs/>
        </w:rPr>
        <w:t xml:space="preserve">clear and transparent </w:t>
      </w:r>
      <w:r w:rsidR="00AE3F19">
        <w:rPr>
          <w:b/>
          <w:i/>
          <w:iCs/>
        </w:rPr>
        <w:t>Fund</w:t>
      </w:r>
      <w:r w:rsidRPr="00731903">
        <w:rPr>
          <w:b/>
          <w:i/>
          <w:iCs/>
        </w:rPr>
        <w:t>-specific strategy</w:t>
      </w:r>
      <w:r w:rsidRPr="00731903">
        <w:rPr>
          <w:i/>
          <w:iCs/>
        </w:rPr>
        <w:t xml:space="preserve"> identifying how employers’ pension liabilities are best met going forward</w:t>
      </w:r>
    </w:p>
    <w:p w14:paraId="06D85DD1" w14:textId="4A4E3620" w:rsidR="00AC50B2" w:rsidRPr="00A47DA6" w:rsidRDefault="00AC50B2" w:rsidP="00A47DA6">
      <w:pPr>
        <w:pStyle w:val="BulletHymans"/>
        <w:numPr>
          <w:ilvl w:val="0"/>
          <w:numId w:val="23"/>
        </w:numPr>
        <w:rPr>
          <w:rFonts w:eastAsiaTheme="minorHAnsi"/>
          <w:i/>
          <w:color w:val="auto"/>
        </w:rPr>
      </w:pPr>
      <w:r w:rsidRPr="00A47DA6">
        <w:rPr>
          <w:rFonts w:eastAsiaTheme="minorHAnsi"/>
          <w:i/>
          <w:color w:val="auto"/>
        </w:rPr>
        <w:t xml:space="preserve">support the desirability of maintaining as constant and stable primary contribution rate as possible, as defined in Regulation 62(5) of the LGPS Regulations 2013 </w:t>
      </w:r>
    </w:p>
    <w:p w14:paraId="0447E13D" w14:textId="16CE0FB8" w:rsidR="00AC50B2" w:rsidRPr="007004BC" w:rsidRDefault="00AC50B2" w:rsidP="00A47DA6">
      <w:pPr>
        <w:pStyle w:val="BulletHymans"/>
        <w:numPr>
          <w:ilvl w:val="0"/>
          <w:numId w:val="23"/>
        </w:numPr>
        <w:rPr>
          <w:rFonts w:asciiTheme="minorHAnsi" w:eastAsiaTheme="minorHAnsi" w:hAnsiTheme="minorHAnsi" w:cstheme="minorBidi"/>
          <w:i/>
          <w:color w:val="auto"/>
          <w:sz w:val="22"/>
          <w:szCs w:val="22"/>
        </w:rPr>
      </w:pPr>
      <w:r w:rsidRPr="00AC50B2">
        <w:rPr>
          <w:rFonts w:asciiTheme="minorHAnsi" w:eastAsiaTheme="minorHAnsi" w:hAnsiTheme="minorHAnsi" w:cstheme="minorBidi"/>
          <w:i/>
          <w:color w:val="auto"/>
          <w:sz w:val="22"/>
          <w:szCs w:val="22"/>
        </w:rPr>
        <w:t xml:space="preserve">ensure that the </w:t>
      </w:r>
      <w:r w:rsidR="004E7227">
        <w:rPr>
          <w:rFonts w:asciiTheme="minorHAnsi" w:eastAsiaTheme="minorHAnsi" w:hAnsiTheme="minorHAnsi" w:cstheme="minorBidi"/>
          <w:i/>
          <w:color w:val="auto"/>
          <w:sz w:val="22"/>
          <w:szCs w:val="22"/>
        </w:rPr>
        <w:t>legal</w:t>
      </w:r>
      <w:r w:rsidR="004E7227" w:rsidRPr="00AC50B2">
        <w:rPr>
          <w:rFonts w:asciiTheme="minorHAnsi" w:eastAsiaTheme="minorHAnsi" w:hAnsiTheme="minorHAnsi" w:cstheme="minorBidi"/>
          <w:i/>
          <w:color w:val="auto"/>
          <w:sz w:val="22"/>
          <w:szCs w:val="22"/>
        </w:rPr>
        <w:t xml:space="preserve"> requirements</w:t>
      </w:r>
      <w:r w:rsidRPr="00AC50B2">
        <w:rPr>
          <w:rFonts w:asciiTheme="minorHAnsi" w:eastAsiaTheme="minorHAnsi" w:hAnsiTheme="minorHAnsi" w:cstheme="minorBidi"/>
          <w:i/>
          <w:color w:val="auto"/>
          <w:sz w:val="22"/>
          <w:szCs w:val="22"/>
        </w:rPr>
        <w:t xml:space="preserve"> to set contributions to ensure the solvency and long-term cost efficiency of the fund are met. </w:t>
      </w:r>
    </w:p>
    <w:p w14:paraId="7B96ADE0" w14:textId="158C9853" w:rsidR="00AC50B2" w:rsidRPr="007004BC" w:rsidRDefault="00AC50B2" w:rsidP="00A47DA6">
      <w:pPr>
        <w:pStyle w:val="BulletHymans"/>
        <w:numPr>
          <w:ilvl w:val="0"/>
          <w:numId w:val="23"/>
        </w:numPr>
        <w:rPr>
          <w:rFonts w:asciiTheme="minorHAnsi" w:eastAsiaTheme="minorHAnsi" w:hAnsiTheme="minorHAnsi" w:cstheme="minorBidi"/>
          <w:i/>
          <w:color w:val="auto"/>
          <w:sz w:val="22"/>
          <w:szCs w:val="22"/>
        </w:rPr>
      </w:pPr>
      <w:r w:rsidRPr="00AC50B2">
        <w:rPr>
          <w:rFonts w:asciiTheme="minorHAnsi" w:eastAsiaTheme="minorHAnsi" w:hAnsiTheme="minorHAnsi" w:cstheme="minorBidi"/>
          <w:i/>
          <w:color w:val="auto"/>
          <w:sz w:val="22"/>
          <w:szCs w:val="22"/>
        </w:rPr>
        <w:t xml:space="preserve">explain how the fund balances the interests of different employers. </w:t>
      </w:r>
    </w:p>
    <w:p w14:paraId="1B0E8A14" w14:textId="5E996F25" w:rsidR="00AC50B2" w:rsidRPr="00731903" w:rsidRDefault="00AC50B2" w:rsidP="00A47DA6">
      <w:pPr>
        <w:pStyle w:val="BulletHymans"/>
        <w:numPr>
          <w:ilvl w:val="0"/>
          <w:numId w:val="23"/>
        </w:numPr>
        <w:rPr>
          <w:i/>
        </w:rPr>
      </w:pPr>
      <w:r w:rsidRPr="00AC50B2">
        <w:rPr>
          <w:rFonts w:asciiTheme="minorHAnsi" w:eastAsiaTheme="minorHAnsi" w:hAnsiTheme="minorHAnsi" w:cstheme="minorBidi"/>
          <w:i/>
          <w:color w:val="auto"/>
          <w:sz w:val="22"/>
          <w:szCs w:val="22"/>
        </w:rPr>
        <w:t xml:space="preserve">explain how the fund deals with conflicts of interest and references other policies/strategies.  </w:t>
      </w:r>
    </w:p>
    <w:p w14:paraId="11979F45" w14:textId="3186484D" w:rsidR="005A44D3" w:rsidRPr="000A77DD" w:rsidRDefault="00731903" w:rsidP="00731903">
      <w:pPr>
        <w:rPr>
          <w:iCs/>
        </w:rPr>
      </w:pPr>
      <w:r w:rsidRPr="00731903">
        <w:rPr>
          <w:iCs/>
        </w:rPr>
        <w:t xml:space="preserve">To prepare this FSS, the administering authority has used guidance </w:t>
      </w:r>
      <w:r w:rsidR="00BA7A43" w:rsidRPr="00BA7A43">
        <w:rPr>
          <w:iCs/>
        </w:rPr>
        <w:t>jointly prepared by the Scheme Advisory Board (SAB), MHCLG, and</w:t>
      </w:r>
      <w:r w:rsidR="00BA7A43">
        <w:rPr>
          <w:iCs/>
        </w:rPr>
        <w:t xml:space="preserve"> </w:t>
      </w:r>
      <w:r w:rsidRPr="00731903">
        <w:rPr>
          <w:iCs/>
        </w:rPr>
        <w:t>by the Chartered Institute of Public Finance and Accountancy (CIPFA)</w:t>
      </w:r>
      <w:r w:rsidR="00E62F6F">
        <w:rPr>
          <w:iCs/>
        </w:rPr>
        <w:t xml:space="preserve"> dated January </w:t>
      </w:r>
      <w:r w:rsidR="005A44D3">
        <w:rPr>
          <w:iCs/>
        </w:rPr>
        <w:t>2025.</w:t>
      </w:r>
    </w:p>
    <w:p w14:paraId="214A6A59" w14:textId="61A99A28" w:rsidR="00731903" w:rsidRPr="000A77DD" w:rsidRDefault="005A44D3" w:rsidP="00731903">
      <w:pPr>
        <w:rPr>
          <w:iCs/>
        </w:rPr>
      </w:pPr>
      <w:r w:rsidRPr="00A47DA6">
        <w:rPr>
          <w:iCs/>
        </w:rPr>
        <w:t xml:space="preserve">The fund has a fiduciary duty to scheme members and obligations to employers to administer the scheme competently </w:t>
      </w:r>
      <w:r w:rsidR="004E7227">
        <w:rPr>
          <w:iCs/>
        </w:rPr>
        <w:t xml:space="preserve">and </w:t>
      </w:r>
      <w:r w:rsidRPr="00A47DA6">
        <w:rPr>
          <w:iCs/>
        </w:rPr>
        <w:t>to keep employer contributions at an affordable level.  The funding strategy statement sets out how the fund meets these responsibilities.</w:t>
      </w:r>
      <w:r w:rsidRPr="000A77DD">
        <w:rPr>
          <w:iCs/>
        </w:rPr>
        <w:t> </w:t>
      </w:r>
    </w:p>
    <w:p w14:paraId="4B4ACECB" w14:textId="02E71A4D" w:rsidR="005B55BA" w:rsidRDefault="00731903" w:rsidP="00731903">
      <w:pPr>
        <w:pStyle w:val="Heading3"/>
      </w:pPr>
      <w:bookmarkStart w:id="63" w:name="_Toc194482904"/>
      <w:r w:rsidRPr="00731903">
        <w:t>A2 Consultation</w:t>
      </w:r>
      <w:bookmarkEnd w:id="63"/>
      <w:r w:rsidR="00AE3F19">
        <w:t xml:space="preserve"> </w:t>
      </w:r>
    </w:p>
    <w:p w14:paraId="0117B4BD" w14:textId="77777777" w:rsidR="00731903" w:rsidRPr="00731903" w:rsidRDefault="00731903" w:rsidP="00731903">
      <w:pPr>
        <w:rPr>
          <w:iCs/>
        </w:rPr>
      </w:pPr>
      <w:r w:rsidRPr="00731903">
        <w:rPr>
          <w:iCs/>
        </w:rPr>
        <w:t>Both the LGPS regulations and most recent CIPFA guidance state the FSS should be prepared in consultation with “</w:t>
      </w:r>
      <w:r w:rsidRPr="00731903">
        <w:rPr>
          <w:i/>
        </w:rPr>
        <w:t>persons the authority considers appropriate</w:t>
      </w:r>
      <w:r w:rsidRPr="00731903">
        <w:rPr>
          <w:iCs/>
        </w:rPr>
        <w:t>”. This should include ‘</w:t>
      </w:r>
      <w:r w:rsidRPr="00731903">
        <w:rPr>
          <w:i/>
        </w:rPr>
        <w:t>meaningful dialogue… with council tax raising authorities and representatives of other participating employers</w:t>
      </w:r>
      <w:r w:rsidRPr="00731903">
        <w:rPr>
          <w:iCs/>
        </w:rPr>
        <w:t>’.</w:t>
      </w:r>
    </w:p>
    <w:p w14:paraId="057D638C" w14:textId="1A16E38B" w:rsidR="00731903" w:rsidRDefault="00731903" w:rsidP="00731903">
      <w:pPr>
        <w:rPr>
          <w:iCs/>
        </w:rPr>
      </w:pPr>
      <w:r w:rsidRPr="00731903">
        <w:rPr>
          <w:iCs/>
        </w:rPr>
        <w:t>The consultation process included issuing a draft version to participating employers</w:t>
      </w:r>
      <w:r w:rsidR="00CF2653">
        <w:rPr>
          <w:iCs/>
        </w:rPr>
        <w:t xml:space="preserve"> and relevant guarantors</w:t>
      </w:r>
      <w:r w:rsidRPr="00731903">
        <w:rPr>
          <w:iCs/>
        </w:rPr>
        <w:t xml:space="preserve"> a</w:t>
      </w:r>
      <w:r w:rsidR="00CF2653">
        <w:rPr>
          <w:iCs/>
        </w:rPr>
        <w:t>longside</w:t>
      </w:r>
      <w:r w:rsidRPr="00731903">
        <w:rPr>
          <w:iCs/>
        </w:rPr>
        <w:t xml:space="preserve"> </w:t>
      </w:r>
      <w:r w:rsidR="00CF2653">
        <w:rPr>
          <w:iCs/>
        </w:rPr>
        <w:t xml:space="preserve">an </w:t>
      </w:r>
      <w:r w:rsidRPr="00731903">
        <w:rPr>
          <w:iCs/>
        </w:rPr>
        <w:t>invitation to attend an open employers’ forum.</w:t>
      </w:r>
      <w:r w:rsidR="00AE3F19">
        <w:rPr>
          <w:iCs/>
        </w:rPr>
        <w:t xml:space="preserve"> </w:t>
      </w:r>
      <w:r w:rsidRPr="00731903">
        <w:rPr>
          <w:iCs/>
        </w:rPr>
        <w:t xml:space="preserve">The administering authority </w:t>
      </w:r>
      <w:r w:rsidR="00CF2653">
        <w:rPr>
          <w:iCs/>
        </w:rPr>
        <w:t>also</w:t>
      </w:r>
      <w:r w:rsidRPr="00731903">
        <w:rPr>
          <w:iCs/>
        </w:rPr>
        <w:t xml:space="preserve"> consult</w:t>
      </w:r>
      <w:r w:rsidR="00CF2653">
        <w:rPr>
          <w:iCs/>
        </w:rPr>
        <w:t>ed relevant employers</w:t>
      </w:r>
      <w:r w:rsidRPr="00731903">
        <w:rPr>
          <w:iCs/>
        </w:rPr>
        <w:t xml:space="preserve"> on actual </w:t>
      </w:r>
      <w:r w:rsidR="00AE3F19">
        <w:rPr>
          <w:iCs/>
        </w:rPr>
        <w:t>Fund</w:t>
      </w:r>
      <w:r w:rsidRPr="00731903">
        <w:rPr>
          <w:iCs/>
        </w:rPr>
        <w:t xml:space="preserve">ing policy and methodologies, before preparing and issuing </w:t>
      </w:r>
      <w:r w:rsidR="00CF2653">
        <w:rPr>
          <w:iCs/>
        </w:rPr>
        <w:t xml:space="preserve">the </w:t>
      </w:r>
      <w:r w:rsidRPr="00731903">
        <w:rPr>
          <w:iCs/>
        </w:rPr>
        <w:t>draft</w:t>
      </w:r>
      <w:r w:rsidR="00CF2653">
        <w:rPr>
          <w:iCs/>
        </w:rPr>
        <w:t xml:space="preserve"> FSS</w:t>
      </w:r>
      <w:r w:rsidRPr="00731903">
        <w:rPr>
          <w:iCs/>
        </w:rPr>
        <w:t xml:space="preserve">. </w:t>
      </w:r>
      <w:r w:rsidR="00CF2653">
        <w:rPr>
          <w:iCs/>
        </w:rPr>
        <w:t>T</w:t>
      </w:r>
      <w:r w:rsidRPr="00731903">
        <w:rPr>
          <w:iCs/>
        </w:rPr>
        <w:t xml:space="preserve">he impact of any variations from the previous </w:t>
      </w:r>
      <w:r w:rsidR="00AE3F19">
        <w:rPr>
          <w:iCs/>
        </w:rPr>
        <w:t>Fund</w:t>
      </w:r>
      <w:r w:rsidRPr="00731903">
        <w:rPr>
          <w:iCs/>
        </w:rPr>
        <w:t>ing strategy</w:t>
      </w:r>
      <w:r w:rsidR="00CF2653">
        <w:rPr>
          <w:iCs/>
        </w:rPr>
        <w:t xml:space="preserve"> were included in the consultation by issuing employers with draft contribution rates to be applied as a result of the draft FSS</w:t>
      </w:r>
    </w:p>
    <w:p w14:paraId="0D27E0AB" w14:textId="1AF9A39C" w:rsidR="00731903" w:rsidRDefault="00025C36" w:rsidP="00731903">
      <w:pPr>
        <w:pStyle w:val="Heading3"/>
      </w:pPr>
      <w:r>
        <w:rPr>
          <w:iCs/>
        </w:rPr>
        <w:t xml:space="preserve">The fund also shared the draft FSS with the Department </w:t>
      </w:r>
      <w:r w:rsidR="00AA2A2B">
        <w:rPr>
          <w:iCs/>
        </w:rPr>
        <w:t xml:space="preserve">for Education and </w:t>
      </w:r>
      <w:r w:rsidR="00045278">
        <w:rPr>
          <w:iCs/>
        </w:rPr>
        <w:t xml:space="preserve">facilitated </w:t>
      </w:r>
      <w:r w:rsidR="00AA2A2B">
        <w:rPr>
          <w:iCs/>
        </w:rPr>
        <w:t xml:space="preserve">a meeting to discuss the changes made and the implications of the fund’s </w:t>
      </w:r>
      <w:r w:rsidR="00C820A2">
        <w:rPr>
          <w:iCs/>
        </w:rPr>
        <w:t>funding policies on academy employers.</w:t>
      </w:r>
      <w:r w:rsidR="00AA2A2B">
        <w:rPr>
          <w:iCs/>
        </w:rPr>
        <w:t xml:space="preserve"> </w:t>
      </w:r>
      <w:r w:rsidR="00EB28DA">
        <w:rPr>
          <w:iCs/>
        </w:rPr>
        <w:t>u</w:t>
      </w:r>
      <w:bookmarkStart w:id="64" w:name="_Toc194482905"/>
      <w:r w:rsidR="00731903" w:rsidRPr="00731903">
        <w:t>A3 How is the FSS published?</w:t>
      </w:r>
      <w:bookmarkEnd w:id="64"/>
    </w:p>
    <w:p w14:paraId="53D1A49C" w14:textId="77777777" w:rsidR="00731903" w:rsidRDefault="00731903" w:rsidP="00731903">
      <w:r>
        <w:t>The FSS is made available through the following routes:</w:t>
      </w:r>
    </w:p>
    <w:p w14:paraId="56B7AD9C" w14:textId="77777777" w:rsidR="00731903" w:rsidRDefault="00731903" w:rsidP="00A237C4">
      <w:pPr>
        <w:pStyle w:val="ListParagraph"/>
        <w:numPr>
          <w:ilvl w:val="0"/>
          <w:numId w:val="38"/>
        </w:numPr>
      </w:pPr>
      <w:r>
        <w:t>Emailed to participating employers and employee and pensioner representatives</w:t>
      </w:r>
    </w:p>
    <w:p w14:paraId="17549371" w14:textId="24648600" w:rsidR="00731903" w:rsidRDefault="00731903" w:rsidP="00A237C4">
      <w:pPr>
        <w:pStyle w:val="ListParagraph"/>
        <w:numPr>
          <w:ilvl w:val="0"/>
          <w:numId w:val="38"/>
        </w:numPr>
      </w:pPr>
      <w:r>
        <w:t xml:space="preserve">Published on the </w:t>
      </w:r>
      <w:r w:rsidR="00AE3F19">
        <w:t>Fund</w:t>
      </w:r>
      <w:r>
        <w:t>’s websit</w:t>
      </w:r>
      <w:r w:rsidRPr="003A5F19">
        <w:t xml:space="preserve">e </w:t>
      </w:r>
      <w:hyperlink r:id="rId27" w:history="1">
        <w:r w:rsidRPr="003A5F19">
          <w:rPr>
            <w:rStyle w:val="Hyperlink"/>
          </w:rPr>
          <w:t>here</w:t>
        </w:r>
      </w:hyperlink>
    </w:p>
    <w:p w14:paraId="1248908C" w14:textId="53D9708C" w:rsidR="00731903" w:rsidRDefault="00731903" w:rsidP="00A237C4">
      <w:pPr>
        <w:pStyle w:val="ListParagraph"/>
        <w:numPr>
          <w:ilvl w:val="0"/>
          <w:numId w:val="38"/>
        </w:numPr>
      </w:pPr>
      <w:r>
        <w:t>Copies are freely available on request</w:t>
      </w:r>
    </w:p>
    <w:p w14:paraId="34B3A7C0" w14:textId="34C04715" w:rsidR="00731903" w:rsidRDefault="00731903" w:rsidP="00731903">
      <w:pPr>
        <w:pStyle w:val="Heading3"/>
      </w:pPr>
      <w:bookmarkStart w:id="65" w:name="_Toc194482906"/>
      <w:r>
        <w:t>A</w:t>
      </w:r>
      <w:r w:rsidR="00E92D22">
        <w:t>4</w:t>
      </w:r>
      <w:r w:rsidR="00756E50">
        <w:t xml:space="preserve"> </w:t>
      </w:r>
      <w:r>
        <w:t xml:space="preserve">How does the FSS fit into the overall </w:t>
      </w:r>
      <w:r w:rsidR="00AE3F19">
        <w:t>Fund</w:t>
      </w:r>
      <w:r>
        <w:t xml:space="preserve"> documentation?</w:t>
      </w:r>
      <w:bookmarkEnd w:id="65"/>
    </w:p>
    <w:p w14:paraId="6B3737EE" w14:textId="74F712A7" w:rsidR="00731903" w:rsidRDefault="00731903" w:rsidP="00731903">
      <w:r>
        <w:t xml:space="preserve">The FSS is a summary of the </w:t>
      </w:r>
      <w:r w:rsidR="00AE3F19">
        <w:t>Fund</w:t>
      </w:r>
      <w:r>
        <w:t xml:space="preserve">’s approach to </w:t>
      </w:r>
      <w:r w:rsidR="00AE3F19">
        <w:t>Fund</w:t>
      </w:r>
      <w:r>
        <w:t xml:space="preserve">ing liabilities. It isn’t exhaustive – the </w:t>
      </w:r>
      <w:r w:rsidR="00AE3F19">
        <w:t>Fund</w:t>
      </w:r>
      <w:r>
        <w:t xml:space="preserve"> publishes other statements like the Statement of investment principles, Investment strategy statement, </w:t>
      </w:r>
      <w:r>
        <w:lastRenderedPageBreak/>
        <w:t xml:space="preserve">Governance strategy and Communications strategy. The </w:t>
      </w:r>
      <w:r w:rsidR="00AE3F19">
        <w:t>Fund</w:t>
      </w:r>
      <w:r>
        <w:t xml:space="preserve">’s annual report and accounts also includes up-to-date </w:t>
      </w:r>
      <w:r w:rsidR="00AE3F19">
        <w:t>Fund</w:t>
      </w:r>
      <w:r>
        <w:t xml:space="preserve"> information. </w:t>
      </w:r>
    </w:p>
    <w:p w14:paraId="39E563E0" w14:textId="6C0D0E42" w:rsidR="00731903" w:rsidRDefault="00731903" w:rsidP="00731903">
      <w:r>
        <w:t xml:space="preserve">You can see all </w:t>
      </w:r>
      <w:r w:rsidR="00AE3F19">
        <w:t>Fund</w:t>
      </w:r>
      <w:r>
        <w:t xml:space="preserve"> documentation </w:t>
      </w:r>
      <w:hyperlink r:id="rId28" w:history="1">
        <w:r w:rsidRPr="00731903">
          <w:rPr>
            <w:rStyle w:val="Hyperlink"/>
          </w:rPr>
          <w:t>here</w:t>
        </w:r>
      </w:hyperlink>
      <w:r>
        <w:t>.</w:t>
      </w:r>
    </w:p>
    <w:p w14:paraId="6DE2A96F" w14:textId="2B8B0A86" w:rsidR="00731903" w:rsidRDefault="00731903">
      <w:r>
        <w:br w:type="page"/>
      </w:r>
    </w:p>
    <w:p w14:paraId="15A720BC" w14:textId="77777777" w:rsidR="00731903" w:rsidRDefault="00731903" w:rsidP="00731903">
      <w:pPr>
        <w:pStyle w:val="Heading2"/>
      </w:pPr>
      <w:bookmarkStart w:id="66" w:name="_Appendix_B_–"/>
      <w:bookmarkStart w:id="67" w:name="_Toc194482907"/>
      <w:bookmarkEnd w:id="66"/>
      <w:r>
        <w:lastRenderedPageBreak/>
        <w:t>Appendix B – Roles and responsibilities</w:t>
      </w:r>
      <w:bookmarkEnd w:id="67"/>
      <w:r>
        <w:t xml:space="preserve"> </w:t>
      </w:r>
    </w:p>
    <w:p w14:paraId="479F8EC2" w14:textId="216D9DD8" w:rsidR="00731903" w:rsidRDefault="00731903" w:rsidP="00731903">
      <w:pPr>
        <w:pStyle w:val="Heading3"/>
      </w:pPr>
      <w:bookmarkStart w:id="68" w:name="_Toc194482908"/>
      <w:r>
        <w:t>B1 The administering authority</w:t>
      </w:r>
      <w:r w:rsidR="009D28DC">
        <w:t xml:space="preserve"> is required to</w:t>
      </w:r>
      <w:r>
        <w:t>:</w:t>
      </w:r>
      <w:bookmarkEnd w:id="68"/>
      <w:r>
        <w:t xml:space="preserve"> </w:t>
      </w:r>
    </w:p>
    <w:p w14:paraId="47002FE7" w14:textId="77777777" w:rsidR="009D28DC" w:rsidRPr="00A47DA6" w:rsidRDefault="009D28DC" w:rsidP="00A47DA6">
      <w:pPr>
        <w:pStyle w:val="ListParagraph"/>
        <w:numPr>
          <w:ilvl w:val="0"/>
          <w:numId w:val="39"/>
        </w:numPr>
        <w:spacing w:line="288" w:lineRule="auto"/>
        <w:ind w:left="357" w:hanging="357"/>
      </w:pPr>
      <w:r w:rsidRPr="00A47DA6">
        <w:t>operate a pension fund  </w:t>
      </w:r>
    </w:p>
    <w:p w14:paraId="6D3A9B50" w14:textId="77777777" w:rsidR="009D28DC" w:rsidRPr="006A351B" w:rsidRDefault="009D28DC" w:rsidP="00A47DA6">
      <w:pPr>
        <w:pStyle w:val="ListParagraph"/>
        <w:numPr>
          <w:ilvl w:val="0"/>
          <w:numId w:val="39"/>
        </w:numPr>
        <w:spacing w:line="288" w:lineRule="auto"/>
        <w:ind w:left="357" w:hanging="357"/>
      </w:pPr>
      <w:r w:rsidRPr="00A47DA6">
        <w:t>collect employer and employee contributions, investment income and other amounts due to the pension fund as stipulated in LGPS Regulations  </w:t>
      </w:r>
    </w:p>
    <w:p w14:paraId="7C654990" w14:textId="77777777" w:rsidR="009D28DC" w:rsidRPr="006A351B" w:rsidRDefault="009D28DC" w:rsidP="00A47DA6">
      <w:pPr>
        <w:pStyle w:val="ListParagraph"/>
        <w:numPr>
          <w:ilvl w:val="0"/>
          <w:numId w:val="39"/>
        </w:numPr>
        <w:spacing w:line="288" w:lineRule="auto"/>
        <w:ind w:left="357" w:hanging="357"/>
      </w:pPr>
      <w:r w:rsidRPr="006A351B">
        <w:t>have an escalation policy in situations where employers fail to meet their obligations  </w:t>
      </w:r>
    </w:p>
    <w:p w14:paraId="54C4231B" w14:textId="77777777" w:rsidR="009D28DC" w:rsidRPr="006A351B" w:rsidRDefault="009D28DC" w:rsidP="00A47DA6">
      <w:pPr>
        <w:pStyle w:val="ListParagraph"/>
        <w:numPr>
          <w:ilvl w:val="0"/>
          <w:numId w:val="39"/>
        </w:numPr>
        <w:spacing w:line="288" w:lineRule="auto"/>
        <w:ind w:left="357" w:hanging="357"/>
      </w:pPr>
      <w:r w:rsidRPr="006A351B">
        <w:t>pay from the pension fund the relevant entitlements as stipulated in LGPS Regulations  </w:t>
      </w:r>
    </w:p>
    <w:p w14:paraId="03839E26" w14:textId="77777777" w:rsidR="009D28DC" w:rsidRPr="006A351B" w:rsidRDefault="009D28DC" w:rsidP="00A47DA6">
      <w:pPr>
        <w:pStyle w:val="ListParagraph"/>
        <w:numPr>
          <w:ilvl w:val="0"/>
          <w:numId w:val="39"/>
        </w:numPr>
        <w:spacing w:line="288" w:lineRule="auto"/>
        <w:ind w:left="357" w:hanging="357"/>
      </w:pPr>
      <w:r w:rsidRPr="006A351B">
        <w:t>invest surplus monies in accordance with the relevant regulations  </w:t>
      </w:r>
    </w:p>
    <w:p w14:paraId="6B56DB63" w14:textId="77777777" w:rsidR="009D28DC" w:rsidRPr="006A351B" w:rsidRDefault="009D28DC" w:rsidP="00A47DA6">
      <w:pPr>
        <w:pStyle w:val="ListParagraph"/>
        <w:numPr>
          <w:ilvl w:val="0"/>
          <w:numId w:val="39"/>
        </w:numPr>
        <w:spacing w:line="288" w:lineRule="auto"/>
        <w:ind w:left="357" w:hanging="357"/>
      </w:pPr>
      <w:r w:rsidRPr="006A351B">
        <w:t>ensure that cash is available to meet liabilities as and when they fall due  </w:t>
      </w:r>
    </w:p>
    <w:p w14:paraId="7E2B5F05" w14:textId="77777777" w:rsidR="009D28DC" w:rsidRPr="006A351B" w:rsidRDefault="009D28DC" w:rsidP="00A47DA6">
      <w:pPr>
        <w:pStyle w:val="ListParagraph"/>
        <w:numPr>
          <w:ilvl w:val="0"/>
          <w:numId w:val="39"/>
        </w:numPr>
        <w:spacing w:line="288" w:lineRule="auto"/>
        <w:ind w:left="357" w:hanging="357"/>
      </w:pPr>
      <w:r w:rsidRPr="006A351B">
        <w:t>ensure benefits paid to members are accurate and undertake timely and appropriate action to rectify any inaccurate benefit payments take measures as set out in the regulations to safeguard the fund against the consequences of employer default  </w:t>
      </w:r>
    </w:p>
    <w:p w14:paraId="60E93EF9" w14:textId="77777777" w:rsidR="009D28DC" w:rsidRPr="006A351B" w:rsidRDefault="009D28DC" w:rsidP="00A47DA6">
      <w:pPr>
        <w:pStyle w:val="ListParagraph"/>
        <w:numPr>
          <w:ilvl w:val="0"/>
          <w:numId w:val="39"/>
        </w:numPr>
        <w:spacing w:line="288" w:lineRule="auto"/>
        <w:ind w:left="357" w:hanging="357"/>
      </w:pPr>
      <w:r w:rsidRPr="006A351B">
        <w:t>manage the valuation process in consultation with the fund’s actuary  </w:t>
      </w:r>
    </w:p>
    <w:p w14:paraId="6F21AF8B" w14:textId="77777777" w:rsidR="009D28DC" w:rsidRPr="006A351B" w:rsidRDefault="009D28DC" w:rsidP="00A47DA6">
      <w:pPr>
        <w:pStyle w:val="ListParagraph"/>
        <w:numPr>
          <w:ilvl w:val="0"/>
          <w:numId w:val="39"/>
        </w:numPr>
        <w:spacing w:line="288" w:lineRule="auto"/>
        <w:ind w:left="357" w:hanging="357"/>
      </w:pPr>
      <w:r w:rsidRPr="006A351B">
        <w:t>prepare and maintain an FSS and associated funding policies and SIP/ISS, after proper consultation with interested parties  </w:t>
      </w:r>
    </w:p>
    <w:p w14:paraId="7A586692" w14:textId="77777777" w:rsidR="009D28DC" w:rsidRPr="006A351B" w:rsidRDefault="009D28DC" w:rsidP="00A47DA6">
      <w:pPr>
        <w:pStyle w:val="ListParagraph"/>
        <w:numPr>
          <w:ilvl w:val="0"/>
          <w:numId w:val="39"/>
        </w:numPr>
        <w:spacing w:line="288" w:lineRule="auto"/>
        <w:ind w:left="357" w:hanging="357"/>
      </w:pPr>
      <w:r w:rsidRPr="006A351B">
        <w:t>monitor all aspects of the fund’s performance and funding, and amend the FSS/ISS accordingly  </w:t>
      </w:r>
    </w:p>
    <w:p w14:paraId="2C63F1A4" w14:textId="77777777" w:rsidR="009D28DC" w:rsidRPr="006A351B" w:rsidRDefault="009D28DC" w:rsidP="00A47DA6">
      <w:pPr>
        <w:pStyle w:val="ListParagraph"/>
        <w:numPr>
          <w:ilvl w:val="0"/>
          <w:numId w:val="39"/>
        </w:numPr>
        <w:spacing w:line="288" w:lineRule="auto"/>
        <w:ind w:left="357" w:hanging="357"/>
      </w:pPr>
      <w:r w:rsidRPr="006A351B">
        <w:t>establish a policy around exit payments and payment of exit credits/debits in relation to employer exits  </w:t>
      </w:r>
    </w:p>
    <w:p w14:paraId="1139EB23" w14:textId="77777777" w:rsidR="009D28DC" w:rsidRPr="006A351B" w:rsidRDefault="009D28DC" w:rsidP="00A47DA6">
      <w:pPr>
        <w:pStyle w:val="ListParagraph"/>
        <w:numPr>
          <w:ilvl w:val="0"/>
          <w:numId w:val="39"/>
        </w:numPr>
        <w:spacing w:line="288" w:lineRule="auto"/>
        <w:ind w:left="357" w:hanging="357"/>
      </w:pPr>
      <w:r w:rsidRPr="006A351B">
        <w:t>effectively manage any potential conflicts of interest arising from its dual role as both fund administrator and scheme employer  </w:t>
      </w:r>
    </w:p>
    <w:p w14:paraId="75FE46EC" w14:textId="77777777" w:rsidR="009D28DC" w:rsidRPr="006A351B" w:rsidRDefault="009D28DC" w:rsidP="00A47DA6">
      <w:pPr>
        <w:pStyle w:val="ListParagraph"/>
        <w:numPr>
          <w:ilvl w:val="0"/>
          <w:numId w:val="39"/>
        </w:numPr>
        <w:spacing w:line="288" w:lineRule="auto"/>
        <w:ind w:left="357" w:hanging="357"/>
      </w:pPr>
      <w:r w:rsidRPr="006A351B">
        <w:t>enable the local pension board to review the valuation and FSS review process and as set out in their terms of reference  </w:t>
      </w:r>
    </w:p>
    <w:p w14:paraId="7F6052AF" w14:textId="72AD2FC6" w:rsidR="00A21040" w:rsidRPr="00A21040" w:rsidRDefault="009D28DC" w:rsidP="00A47DA6">
      <w:pPr>
        <w:pStyle w:val="ListParagraph"/>
        <w:numPr>
          <w:ilvl w:val="0"/>
          <w:numId w:val="39"/>
        </w:numPr>
        <w:spacing w:line="288" w:lineRule="auto"/>
        <w:ind w:left="357" w:hanging="357"/>
      </w:pPr>
      <w:r w:rsidRPr="006A351B">
        <w:t>support and monitor a Local Pension Board (LPB) as required by the Public Service Pensions Act 2013, the Regulations and the Pensions Regulator’s relevant Code of Practice  </w:t>
      </w:r>
    </w:p>
    <w:p w14:paraId="3D35389B" w14:textId="7575CCE7" w:rsidR="00731903" w:rsidRDefault="00731903" w:rsidP="00731903">
      <w:pPr>
        <w:pStyle w:val="Heading3"/>
      </w:pPr>
      <w:bookmarkStart w:id="69" w:name="_Toc194482909"/>
      <w:r>
        <w:t>B2 Individual employers</w:t>
      </w:r>
      <w:r w:rsidR="00BB5279">
        <w:t xml:space="preserve"> are required to</w:t>
      </w:r>
      <w:r>
        <w:t>:</w:t>
      </w:r>
      <w:bookmarkEnd w:id="69"/>
      <w:r>
        <w:t xml:space="preserve"> </w:t>
      </w:r>
    </w:p>
    <w:p w14:paraId="6B1D65D8" w14:textId="7A3DB545" w:rsidR="001C5A9B" w:rsidRDefault="001C5A9B" w:rsidP="006A351B">
      <w:pPr>
        <w:pStyle w:val="ListParagraph"/>
        <w:numPr>
          <w:ilvl w:val="0"/>
          <w:numId w:val="40"/>
        </w:numPr>
        <w:spacing w:line="288" w:lineRule="auto"/>
        <w:ind w:left="357" w:hanging="357"/>
      </w:pPr>
      <w:r>
        <w:t>e</w:t>
      </w:r>
      <w:r w:rsidR="00950D17" w:rsidRPr="006A351B">
        <w:t>nsure staff who are eligible are contractually enrolled</w:t>
      </w:r>
      <w:r>
        <w:t>.</w:t>
      </w:r>
      <w:r w:rsidR="00950D17" w:rsidRPr="006A351B">
        <w:t xml:space="preserve"> </w:t>
      </w:r>
    </w:p>
    <w:p w14:paraId="1F4F2F7A" w14:textId="2C601772" w:rsidR="00950D17" w:rsidRPr="00950D17" w:rsidRDefault="00950D17" w:rsidP="006A351B">
      <w:pPr>
        <w:pStyle w:val="ListParagraph"/>
        <w:numPr>
          <w:ilvl w:val="0"/>
          <w:numId w:val="40"/>
        </w:numPr>
        <w:spacing w:line="288" w:lineRule="auto"/>
        <w:ind w:left="357" w:hanging="357"/>
      </w:pPr>
      <w:r w:rsidRPr="006A351B">
        <w:t>deduct contributions from employees’ pay correctly after determining the appropriate employee contribution rate (in accordance with the Regulations), </w:t>
      </w:r>
      <w:r w:rsidRPr="00950D17">
        <w:t> </w:t>
      </w:r>
    </w:p>
    <w:p w14:paraId="3BDD0EA6" w14:textId="7D704228" w:rsidR="00950D17" w:rsidRPr="00950D17" w:rsidRDefault="00950D17" w:rsidP="006A351B">
      <w:pPr>
        <w:pStyle w:val="ListParagraph"/>
        <w:numPr>
          <w:ilvl w:val="0"/>
          <w:numId w:val="40"/>
        </w:numPr>
        <w:spacing w:line="288" w:lineRule="auto"/>
        <w:ind w:left="357" w:hanging="357"/>
      </w:pPr>
      <w:r w:rsidRPr="006A351B">
        <w:t>provide the fund with accurate data</w:t>
      </w:r>
      <w:r w:rsidR="00215534">
        <w:t>.</w:t>
      </w:r>
      <w:r w:rsidRPr="006A351B">
        <w:t xml:space="preserve"> </w:t>
      </w:r>
      <w:r w:rsidR="00215534">
        <w:t>U</w:t>
      </w:r>
      <w:r w:rsidRPr="006A351B">
        <w:t>nderstand that the quality of the data provided to the Fund will directly impact on the assessment of their liabilities and their contributions. In particular, any deficiencies in their data may result in the employer paying higher contributions than otherwise would be the case if their data was of high quality </w:t>
      </w:r>
      <w:r w:rsidRPr="00950D17">
        <w:t> </w:t>
      </w:r>
    </w:p>
    <w:p w14:paraId="2A87BA0B" w14:textId="5F9B2ADE" w:rsidR="00950D17" w:rsidRPr="00950D17" w:rsidRDefault="00950D17" w:rsidP="006A351B">
      <w:pPr>
        <w:pStyle w:val="ListParagraph"/>
        <w:numPr>
          <w:ilvl w:val="0"/>
          <w:numId w:val="40"/>
        </w:numPr>
        <w:spacing w:line="288" w:lineRule="auto"/>
        <w:ind w:left="357" w:hanging="357"/>
      </w:pPr>
      <w:r w:rsidRPr="006A351B">
        <w:t xml:space="preserve">pay all ongoing contributions, </w:t>
      </w:r>
      <w:r w:rsidR="00D678A1">
        <w:rPr>
          <w:rFonts w:cstheme="minorHAnsi"/>
        </w:rPr>
        <w:t xml:space="preserve">promptly by the due date, </w:t>
      </w:r>
      <w:r w:rsidRPr="006A351B">
        <w:t>including employer contributions determined by the actuary and set out in the rates and adjustments certificate</w:t>
      </w:r>
    </w:p>
    <w:p w14:paraId="33F8F344" w14:textId="5EC860B6" w:rsidR="00950D17" w:rsidRPr="00950D17" w:rsidRDefault="00950D17" w:rsidP="006A351B">
      <w:pPr>
        <w:pStyle w:val="ListParagraph"/>
        <w:numPr>
          <w:ilvl w:val="0"/>
          <w:numId w:val="40"/>
        </w:numPr>
        <w:spacing w:line="288" w:lineRule="auto"/>
        <w:ind w:left="357" w:hanging="357"/>
      </w:pPr>
      <w:r w:rsidRPr="007E44E6">
        <w:t xml:space="preserve">develop a policy on certain discretions and exercise those discretions as permitted within the </w:t>
      </w:r>
      <w:r w:rsidR="00132296">
        <w:t>legal</w:t>
      </w:r>
      <w:r w:rsidRPr="007E44E6">
        <w:t xml:space="preserve"> framework </w:t>
      </w:r>
      <w:r w:rsidRPr="00950D17">
        <w:t> </w:t>
      </w:r>
    </w:p>
    <w:p w14:paraId="7099452D" w14:textId="77777777" w:rsidR="00950D17" w:rsidRPr="00950D17" w:rsidRDefault="00950D17" w:rsidP="006A351B">
      <w:pPr>
        <w:pStyle w:val="ListParagraph"/>
        <w:numPr>
          <w:ilvl w:val="0"/>
          <w:numId w:val="40"/>
        </w:numPr>
        <w:spacing w:line="288" w:lineRule="auto"/>
        <w:ind w:left="357" w:hanging="357"/>
      </w:pPr>
      <w:r w:rsidRPr="007E44E6">
        <w:t>make additional contributions in accordance with agreed arrangements in respect of, for example, augmentation of scheme benefits and early retirement strain </w:t>
      </w:r>
      <w:r w:rsidRPr="00950D17">
        <w:t> </w:t>
      </w:r>
    </w:p>
    <w:p w14:paraId="42FFC882" w14:textId="3F08EE17" w:rsidR="00950D17" w:rsidRPr="00950D17" w:rsidRDefault="00950D17" w:rsidP="006A351B">
      <w:pPr>
        <w:pStyle w:val="ListParagraph"/>
        <w:numPr>
          <w:ilvl w:val="0"/>
          <w:numId w:val="40"/>
        </w:numPr>
        <w:spacing w:line="288" w:lineRule="auto"/>
        <w:ind w:left="357" w:hanging="357"/>
      </w:pPr>
      <w:r w:rsidRPr="007E44E6">
        <w:t>notify the administering authority promptly of all changes to active membership that affect future funding</w:t>
      </w:r>
      <w:r w:rsidRPr="00950D17">
        <w:t> </w:t>
      </w:r>
    </w:p>
    <w:p w14:paraId="2E3B19B8" w14:textId="48330CB2" w:rsidR="00950D17" w:rsidRPr="00950D17" w:rsidRDefault="00132296" w:rsidP="006A351B">
      <w:pPr>
        <w:pStyle w:val="ListParagraph"/>
        <w:numPr>
          <w:ilvl w:val="0"/>
          <w:numId w:val="40"/>
        </w:numPr>
        <w:spacing w:line="288" w:lineRule="auto"/>
        <w:ind w:left="357" w:hanging="357"/>
      </w:pPr>
      <w:r>
        <w:t>p</w:t>
      </w:r>
      <w:r w:rsidR="00950D17" w:rsidRPr="007E44E6">
        <w:t xml:space="preserve">ay any exit payments on ceasing participation in the fund timely provide the fund with accurate data and understand that the quality of the data provided to the fund will directly impact on the assessment of their liabilities and their contributions. In particular, any inaccuracies in data may </w:t>
      </w:r>
      <w:r w:rsidR="00950D17" w:rsidRPr="007E44E6">
        <w:lastRenderedPageBreak/>
        <w:t>result in the employer paying higher contributions than otherwise would be the case if their data was of high quality.</w:t>
      </w:r>
      <w:r w:rsidR="00950D17" w:rsidRPr="00950D17">
        <w:t> </w:t>
      </w:r>
    </w:p>
    <w:p w14:paraId="226672D0" w14:textId="16386717" w:rsidR="00731903" w:rsidRDefault="00731903" w:rsidP="00731903">
      <w:pPr>
        <w:pStyle w:val="Heading3"/>
      </w:pPr>
      <w:bookmarkStart w:id="70" w:name="_Toc194482910"/>
      <w:r>
        <w:t xml:space="preserve">B3 The </w:t>
      </w:r>
      <w:r w:rsidR="00AE3F19">
        <w:t>Fund</w:t>
      </w:r>
      <w:r>
        <w:t xml:space="preserve"> actuary</w:t>
      </w:r>
      <w:r w:rsidR="000D20FA">
        <w:t xml:space="preserve"> should</w:t>
      </w:r>
      <w:r>
        <w:t>:</w:t>
      </w:r>
      <w:bookmarkEnd w:id="70"/>
    </w:p>
    <w:p w14:paraId="28D2FC8B" w14:textId="2864B6A7" w:rsidR="000D20FA" w:rsidRPr="007E44E6" w:rsidRDefault="000D20FA" w:rsidP="007E44E6">
      <w:pPr>
        <w:pStyle w:val="ListParagraph"/>
        <w:numPr>
          <w:ilvl w:val="0"/>
          <w:numId w:val="42"/>
        </w:numPr>
        <w:spacing w:line="288" w:lineRule="auto"/>
        <w:ind w:left="357" w:hanging="357"/>
      </w:pPr>
      <w:r w:rsidRPr="007E44E6">
        <w:t>prepare valuations including the setting of employers’ contribution rates to ensure fund solvency and long-term cost efficiency</w:t>
      </w:r>
      <w:r w:rsidR="00BC799D">
        <w:t>.</w:t>
      </w:r>
      <w:r w:rsidRPr="007E44E6">
        <w:t xml:space="preserve"> </w:t>
      </w:r>
      <w:r w:rsidR="00BC799D">
        <w:t>B</w:t>
      </w:r>
      <w:r w:rsidRPr="007E44E6">
        <w:t>ased on the assumptions set by the administering authority and having regard to the FSS and the LGPS Regulations  </w:t>
      </w:r>
    </w:p>
    <w:p w14:paraId="7B1ABA57" w14:textId="4DBB12FF" w:rsidR="003D64E4" w:rsidRDefault="000D20FA">
      <w:pPr>
        <w:pStyle w:val="ListParagraph"/>
        <w:numPr>
          <w:ilvl w:val="0"/>
          <w:numId w:val="42"/>
        </w:numPr>
        <w:spacing w:line="288" w:lineRule="auto"/>
        <w:ind w:left="357" w:hanging="357"/>
      </w:pPr>
      <w:r w:rsidRPr="007E44E6">
        <w:t xml:space="preserve">provide advice so the fund can set the necessary assumptions for the </w:t>
      </w:r>
      <w:r w:rsidRPr="00A47DA6">
        <w:t>valuation</w:t>
      </w:r>
    </w:p>
    <w:p w14:paraId="412F39F6" w14:textId="3ABFE5DB" w:rsidR="000D20FA" w:rsidRPr="00A47DA6" w:rsidRDefault="000D20FA" w:rsidP="00A47DA6">
      <w:pPr>
        <w:pStyle w:val="ListParagraph"/>
        <w:numPr>
          <w:ilvl w:val="0"/>
          <w:numId w:val="42"/>
        </w:numPr>
        <w:spacing w:line="288" w:lineRule="auto"/>
        <w:ind w:left="357" w:hanging="357"/>
      </w:pPr>
      <w:r w:rsidRPr="00A47DA6">
        <w:t>prepare advice and calculations in connection with bulk transfers and the funding aspects of individual benefit-related matters</w:t>
      </w:r>
      <w:r w:rsidR="00BC799D">
        <w:t>.</w:t>
      </w:r>
      <w:r w:rsidRPr="00A47DA6">
        <w:t xml:space="preserve">  </w:t>
      </w:r>
      <w:r w:rsidR="00BC799D">
        <w:t>This includes advice</w:t>
      </w:r>
      <w:r w:rsidR="0073186E">
        <w:t xml:space="preserve"> on </w:t>
      </w:r>
      <w:r w:rsidRPr="00A47DA6">
        <w:t>pension strain costs, ill health retirement costs, compensatory added years costs, etc  </w:t>
      </w:r>
    </w:p>
    <w:p w14:paraId="4BCF678F" w14:textId="77777777" w:rsidR="000D20FA" w:rsidRPr="00A47DA6" w:rsidRDefault="000D20FA" w:rsidP="00A47DA6">
      <w:pPr>
        <w:pStyle w:val="ListParagraph"/>
        <w:numPr>
          <w:ilvl w:val="0"/>
          <w:numId w:val="42"/>
        </w:numPr>
        <w:spacing w:line="288" w:lineRule="auto"/>
        <w:ind w:left="357" w:hanging="357"/>
      </w:pPr>
      <w:r w:rsidRPr="00A47DA6">
        <w:t>provide advice and valuations to the fund so that it can make decisions on the exit of employers from the fund  </w:t>
      </w:r>
    </w:p>
    <w:p w14:paraId="6EC4C6F1" w14:textId="77777777" w:rsidR="000D20FA" w:rsidRPr="00A47DA6" w:rsidRDefault="000D20FA" w:rsidP="00A47DA6">
      <w:pPr>
        <w:pStyle w:val="ListParagraph"/>
        <w:numPr>
          <w:ilvl w:val="0"/>
          <w:numId w:val="42"/>
        </w:numPr>
        <w:spacing w:line="288" w:lineRule="auto"/>
        <w:ind w:left="357" w:hanging="357"/>
      </w:pPr>
      <w:r w:rsidRPr="00A47DA6">
        <w:t>provide advice to the fund on bonds or other forms of security against the financial effect on the fund of employer default  </w:t>
      </w:r>
    </w:p>
    <w:p w14:paraId="0E10FE45" w14:textId="77777777" w:rsidR="000D20FA" w:rsidRPr="00A47DA6" w:rsidRDefault="000D20FA" w:rsidP="00A47DA6">
      <w:pPr>
        <w:pStyle w:val="ListParagraph"/>
        <w:numPr>
          <w:ilvl w:val="0"/>
          <w:numId w:val="42"/>
        </w:numPr>
        <w:spacing w:line="288" w:lineRule="auto"/>
        <w:ind w:left="357" w:hanging="357"/>
      </w:pPr>
      <w:r w:rsidRPr="00A47DA6">
        <w:t>assist the fund in assessing whether employer contributions need to be revised between valuations as permitted or required by the regulations  </w:t>
      </w:r>
    </w:p>
    <w:p w14:paraId="0E0035A0" w14:textId="1DF7EFB1" w:rsidR="006B42A7" w:rsidRDefault="000D20FA" w:rsidP="00A47DA6">
      <w:pPr>
        <w:pStyle w:val="ListParagraph"/>
        <w:numPr>
          <w:ilvl w:val="0"/>
          <w:numId w:val="42"/>
        </w:numPr>
        <w:spacing w:line="288" w:lineRule="auto"/>
        <w:ind w:left="357" w:hanging="357"/>
      </w:pPr>
      <w:r w:rsidRPr="00A47DA6">
        <w:t>ensure that the fund is aware of any professional guidance or other professional requirements that may be relevant in the role of advising the fund.  </w:t>
      </w:r>
    </w:p>
    <w:p w14:paraId="66839BC5" w14:textId="1440CCD0" w:rsidR="00D34F38" w:rsidRDefault="00B30279" w:rsidP="00A47DA6">
      <w:pPr>
        <w:pStyle w:val="ListParagraph"/>
        <w:numPr>
          <w:ilvl w:val="0"/>
          <w:numId w:val="42"/>
        </w:numPr>
        <w:spacing w:line="288" w:lineRule="auto"/>
        <w:ind w:left="357" w:hanging="357"/>
      </w:pPr>
      <w:r w:rsidRPr="00B30279">
        <w:t xml:space="preserve">Identify to the fund and manage any potential conflicts of interest that may arise in the delivery </w:t>
      </w:r>
      <w:r w:rsidR="009D26AF">
        <w:t>of</w:t>
      </w:r>
      <w:r w:rsidRPr="00B30279">
        <w:t xml:space="preserve"> contractual arrangements to the fund and other clients</w:t>
      </w:r>
    </w:p>
    <w:p w14:paraId="46B59B4D" w14:textId="77777777" w:rsidR="00D34F38" w:rsidRPr="00A47DA6" w:rsidRDefault="00D34F38" w:rsidP="00A47DA6">
      <w:pPr>
        <w:pStyle w:val="Heading3"/>
        <w:rPr>
          <w:b w:val="0"/>
        </w:rPr>
      </w:pPr>
      <w:bookmarkStart w:id="71" w:name="_Toc194482911"/>
      <w:r w:rsidRPr="00A47DA6">
        <w:t>B4 Local Pension Boards (LPB):</w:t>
      </w:r>
      <w:bookmarkEnd w:id="71"/>
      <w:r w:rsidRPr="00A47DA6">
        <w:t>  </w:t>
      </w:r>
    </w:p>
    <w:p w14:paraId="4013B895" w14:textId="13049C6F" w:rsidR="00D34F38" w:rsidRPr="00A47DA6" w:rsidRDefault="00D34F38" w:rsidP="00D34F38">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A47DA6">
        <w:rPr>
          <w:rFonts w:asciiTheme="minorHAnsi" w:eastAsiaTheme="minorHAnsi" w:hAnsiTheme="minorHAnsi" w:cstheme="minorBidi"/>
          <w:sz w:val="22"/>
          <w:szCs w:val="22"/>
          <w:lang w:eastAsia="en-US"/>
        </w:rPr>
        <w:t>Local Pension Boards have responsibility to assist the administering authority to secure compliance with the LGPS regulations</w:t>
      </w:r>
      <w:r w:rsidR="00DA3A5A">
        <w:rPr>
          <w:rFonts w:asciiTheme="minorHAnsi" w:eastAsiaTheme="minorHAnsi" w:hAnsiTheme="minorHAnsi" w:cstheme="minorBidi"/>
          <w:sz w:val="22"/>
          <w:szCs w:val="22"/>
          <w:lang w:eastAsia="en-US"/>
        </w:rPr>
        <w:t xml:space="preserve"> and</w:t>
      </w:r>
      <w:r w:rsidRPr="00A47DA6">
        <w:rPr>
          <w:rFonts w:asciiTheme="minorHAnsi" w:eastAsiaTheme="minorHAnsi" w:hAnsiTheme="minorHAnsi" w:cstheme="minorBidi"/>
          <w:sz w:val="22"/>
          <w:szCs w:val="22"/>
          <w:lang w:eastAsia="en-US"/>
        </w:rPr>
        <w:t xml:space="preserve"> other legislation relating to the governance and administration of the LGPS</w:t>
      </w:r>
      <w:r w:rsidR="00DA3A5A">
        <w:rPr>
          <w:rFonts w:asciiTheme="minorHAnsi" w:eastAsiaTheme="minorHAnsi" w:hAnsiTheme="minorHAnsi" w:cstheme="minorBidi"/>
          <w:sz w:val="22"/>
          <w:szCs w:val="22"/>
          <w:lang w:eastAsia="en-US"/>
        </w:rPr>
        <w:t>.</w:t>
      </w:r>
      <w:r w:rsidRPr="00A47DA6">
        <w:rPr>
          <w:rFonts w:asciiTheme="minorHAnsi" w:eastAsiaTheme="minorHAnsi" w:hAnsiTheme="minorHAnsi" w:cstheme="minorBidi"/>
          <w:sz w:val="22"/>
          <w:szCs w:val="22"/>
          <w:lang w:eastAsia="en-US"/>
        </w:rPr>
        <w:t xml:space="preserve"> </w:t>
      </w:r>
      <w:r w:rsidR="00DA3A5A">
        <w:rPr>
          <w:rFonts w:asciiTheme="minorHAnsi" w:eastAsiaTheme="minorHAnsi" w:hAnsiTheme="minorHAnsi" w:cstheme="minorBidi"/>
          <w:sz w:val="22"/>
          <w:szCs w:val="22"/>
          <w:lang w:eastAsia="en-US"/>
        </w:rPr>
        <w:t xml:space="preserve">Including </w:t>
      </w:r>
      <w:r w:rsidRPr="00A47DA6">
        <w:rPr>
          <w:rFonts w:asciiTheme="minorHAnsi" w:eastAsiaTheme="minorHAnsi" w:hAnsiTheme="minorHAnsi" w:cstheme="minorBidi"/>
          <w:sz w:val="22"/>
          <w:szCs w:val="22"/>
          <w:lang w:eastAsia="en-US"/>
        </w:rPr>
        <w:t>any requirements imposed by the Regulator in relation to the LGPS</w:t>
      </w:r>
      <w:r w:rsidR="000E184E">
        <w:rPr>
          <w:rFonts w:asciiTheme="minorHAnsi" w:eastAsiaTheme="minorHAnsi" w:hAnsiTheme="minorHAnsi" w:cstheme="minorBidi"/>
          <w:sz w:val="22"/>
          <w:szCs w:val="22"/>
          <w:lang w:eastAsia="en-US"/>
        </w:rPr>
        <w:t>.</w:t>
      </w:r>
      <w:r w:rsidRPr="00A47DA6">
        <w:rPr>
          <w:rFonts w:asciiTheme="minorHAnsi" w:eastAsiaTheme="minorHAnsi" w:hAnsiTheme="minorHAnsi" w:cstheme="minorBidi"/>
          <w:sz w:val="22"/>
          <w:szCs w:val="22"/>
          <w:lang w:eastAsia="en-US"/>
        </w:rPr>
        <w:t xml:space="preserve"> </w:t>
      </w:r>
      <w:r w:rsidR="000E184E">
        <w:rPr>
          <w:rFonts w:asciiTheme="minorHAnsi" w:eastAsiaTheme="minorHAnsi" w:hAnsiTheme="minorHAnsi" w:cstheme="minorBidi"/>
          <w:sz w:val="22"/>
          <w:szCs w:val="22"/>
          <w:lang w:eastAsia="en-US"/>
        </w:rPr>
        <w:t>The LPB also helps</w:t>
      </w:r>
      <w:r w:rsidRPr="00A47DA6">
        <w:rPr>
          <w:rFonts w:asciiTheme="minorHAnsi" w:eastAsiaTheme="minorHAnsi" w:hAnsiTheme="minorHAnsi" w:cstheme="minorBidi"/>
          <w:sz w:val="22"/>
          <w:szCs w:val="22"/>
          <w:lang w:eastAsia="en-US"/>
        </w:rPr>
        <w:t xml:space="preserve"> to ensure the effective and efficient governance and administration of the LGPS. It will be for each fund to determine the input into the development of the FSS (as appropriate within fund’s own governance arrangements) however this may include:  </w:t>
      </w:r>
    </w:p>
    <w:p w14:paraId="0253B979" w14:textId="77777777" w:rsidR="009A348B" w:rsidRPr="00A47DA6" w:rsidRDefault="009A348B" w:rsidP="00A47DA6">
      <w:pPr>
        <w:pStyle w:val="BodyTextGrey"/>
        <w:numPr>
          <w:ilvl w:val="6"/>
          <w:numId w:val="89"/>
        </w:numPr>
        <w:spacing w:before="0" w:after="160" w:line="288" w:lineRule="auto"/>
        <w:ind w:left="357" w:hanging="357"/>
        <w:contextualSpacing/>
        <w:rPr>
          <w:rFonts w:asciiTheme="minorHAnsi" w:eastAsiaTheme="minorHAnsi" w:hAnsiTheme="minorHAnsi" w:cstheme="minorBidi"/>
          <w:iCs w:val="0"/>
          <w:color w:val="auto"/>
          <w:sz w:val="22"/>
          <w:szCs w:val="22"/>
        </w:rPr>
      </w:pPr>
      <w:r w:rsidRPr="00A47DA6">
        <w:rPr>
          <w:rFonts w:asciiTheme="minorHAnsi" w:eastAsiaTheme="minorHAnsi" w:hAnsiTheme="minorHAnsi" w:cstheme="minorBidi"/>
          <w:iCs w:val="0"/>
          <w:color w:val="auto"/>
          <w:sz w:val="22"/>
          <w:szCs w:val="22"/>
        </w:rPr>
        <w:t xml:space="preserve">Assist with the development and review the FSS </w:t>
      </w:r>
    </w:p>
    <w:p w14:paraId="07CA2527" w14:textId="77777777" w:rsidR="009A348B" w:rsidRPr="00A47DA6" w:rsidRDefault="009A348B" w:rsidP="00A47DA6">
      <w:pPr>
        <w:pStyle w:val="BodyTextGrey"/>
        <w:numPr>
          <w:ilvl w:val="6"/>
          <w:numId w:val="89"/>
        </w:numPr>
        <w:spacing w:before="0" w:after="160" w:line="288" w:lineRule="auto"/>
        <w:ind w:left="357" w:hanging="357"/>
        <w:contextualSpacing/>
        <w:rPr>
          <w:rFonts w:asciiTheme="minorHAnsi" w:eastAsiaTheme="minorHAnsi" w:hAnsiTheme="minorHAnsi" w:cstheme="minorBidi"/>
          <w:iCs w:val="0"/>
          <w:color w:val="auto"/>
          <w:sz w:val="22"/>
          <w:szCs w:val="22"/>
        </w:rPr>
      </w:pPr>
      <w:r w:rsidRPr="00A47DA6">
        <w:rPr>
          <w:rFonts w:asciiTheme="minorHAnsi" w:eastAsiaTheme="minorHAnsi" w:hAnsiTheme="minorHAnsi" w:cstheme="minorBidi"/>
          <w:iCs w:val="0"/>
          <w:color w:val="auto"/>
          <w:sz w:val="22"/>
          <w:szCs w:val="22"/>
        </w:rPr>
        <w:t xml:space="preserve">Review the compliance of scheme employers with their duties under the FSS, regulations and other relevant legislation </w:t>
      </w:r>
    </w:p>
    <w:p w14:paraId="167647FE" w14:textId="0ED7CC6D" w:rsidR="009A348B" w:rsidRPr="00D47ABA" w:rsidRDefault="009A348B" w:rsidP="00A47DA6">
      <w:pPr>
        <w:pStyle w:val="BodyTextGrey"/>
        <w:numPr>
          <w:ilvl w:val="6"/>
          <w:numId w:val="89"/>
        </w:numPr>
        <w:spacing w:before="0" w:after="160" w:line="288" w:lineRule="auto"/>
        <w:ind w:left="357" w:hanging="357"/>
        <w:contextualSpacing/>
      </w:pPr>
      <w:r w:rsidRPr="00C741B5">
        <w:rPr>
          <w:rFonts w:asciiTheme="minorHAnsi" w:eastAsiaTheme="minorHAnsi" w:hAnsiTheme="minorHAnsi" w:cstheme="minorBidi"/>
          <w:iCs w:val="0"/>
          <w:color w:val="auto"/>
          <w:sz w:val="22"/>
          <w:szCs w:val="22"/>
        </w:rPr>
        <w:t>Assist with the development of and review communications in relation to the FSS.</w:t>
      </w:r>
    </w:p>
    <w:p w14:paraId="163A0944" w14:textId="358A6EED" w:rsidR="001A72D0" w:rsidRPr="00A47DA6" w:rsidRDefault="001A72D0" w:rsidP="00A47DA6">
      <w:pPr>
        <w:pStyle w:val="Heading3"/>
      </w:pPr>
      <w:bookmarkStart w:id="72" w:name="_Toc194482912"/>
      <w:r w:rsidRPr="00A47DA6">
        <w:t>B5</w:t>
      </w:r>
      <w:r>
        <w:t xml:space="preserve"> </w:t>
      </w:r>
      <w:r w:rsidRPr="00A47DA6">
        <w:t>Employer guarantors</w:t>
      </w:r>
      <w:bookmarkEnd w:id="72"/>
      <w:r>
        <w:rPr>
          <w:rStyle w:val="normaltextrun"/>
          <w:rFonts w:ascii="Arial" w:hAnsi="Arial" w:cs="Arial"/>
          <w:b w:val="0"/>
          <w:bCs/>
          <w:color w:val="D13438"/>
          <w:sz w:val="20"/>
          <w:szCs w:val="20"/>
          <w:u w:val="single"/>
        </w:rPr>
        <w:t> </w:t>
      </w:r>
      <w:r>
        <w:rPr>
          <w:rStyle w:val="eop"/>
          <w:rFonts w:ascii="Arial" w:hAnsi="Arial" w:cs="Arial"/>
          <w:color w:val="D13438"/>
          <w:sz w:val="20"/>
          <w:szCs w:val="20"/>
        </w:rPr>
        <w:t> </w:t>
      </w:r>
    </w:p>
    <w:p w14:paraId="23E63217" w14:textId="32F20F23" w:rsidR="009A348B" w:rsidRPr="00A47DA6" w:rsidRDefault="00E31241" w:rsidP="00A47DA6">
      <w:pPr>
        <w:pStyle w:val="BodyTextGrey"/>
        <w:numPr>
          <w:ilvl w:val="0"/>
          <w:numId w:val="90"/>
        </w:numPr>
        <w:spacing w:before="0" w:after="160" w:line="288" w:lineRule="auto"/>
        <w:ind w:left="357" w:hanging="357"/>
        <w:contextualSpacing/>
        <w:rPr>
          <w:rFonts w:asciiTheme="minorHAnsi" w:eastAsiaTheme="minorHAnsi" w:hAnsiTheme="minorHAnsi" w:cstheme="minorHAnsi"/>
          <w:iCs w:val="0"/>
          <w:color w:val="auto"/>
          <w:sz w:val="22"/>
          <w:szCs w:val="22"/>
        </w:rPr>
      </w:pPr>
      <w:r w:rsidRPr="00A47DA6">
        <w:rPr>
          <w:rFonts w:asciiTheme="minorHAnsi" w:eastAsiaTheme="minorHAnsi" w:hAnsiTheme="minorHAnsi" w:cstheme="minorHAnsi"/>
          <w:color w:val="auto"/>
          <w:sz w:val="22"/>
          <w:szCs w:val="22"/>
        </w:rPr>
        <w:t>Department for Education - To pay cessation debts in the case of academy cessations (where the obligations are not being transferred to another MAT)</w:t>
      </w:r>
      <w:r w:rsidR="00690DB0">
        <w:rPr>
          <w:rFonts w:asciiTheme="minorHAnsi" w:eastAsiaTheme="minorHAnsi" w:hAnsiTheme="minorHAnsi" w:cstheme="minorHAnsi"/>
          <w:color w:val="auto"/>
          <w:sz w:val="22"/>
          <w:szCs w:val="22"/>
        </w:rPr>
        <w:t>.</w:t>
      </w:r>
      <w:r w:rsidRPr="00A47DA6">
        <w:rPr>
          <w:rFonts w:asciiTheme="minorHAnsi" w:eastAsiaTheme="minorHAnsi" w:hAnsiTheme="minorHAnsi" w:cstheme="minorHAnsi"/>
          <w:color w:val="auto"/>
          <w:sz w:val="22"/>
          <w:szCs w:val="22"/>
        </w:rPr>
        <w:t xml:space="preserve"> </w:t>
      </w:r>
      <w:r w:rsidR="00690DB0">
        <w:rPr>
          <w:rFonts w:asciiTheme="minorHAnsi" w:eastAsiaTheme="minorHAnsi" w:hAnsiTheme="minorHAnsi" w:cstheme="minorHAnsi"/>
          <w:color w:val="auto"/>
          <w:sz w:val="22"/>
          <w:szCs w:val="22"/>
        </w:rPr>
        <w:t>T</w:t>
      </w:r>
      <w:r w:rsidRPr="00A47DA6">
        <w:rPr>
          <w:rFonts w:asciiTheme="minorHAnsi" w:eastAsiaTheme="minorHAnsi" w:hAnsiTheme="minorHAnsi" w:cstheme="minorHAnsi"/>
          <w:color w:val="auto"/>
          <w:sz w:val="22"/>
          <w:szCs w:val="22"/>
        </w:rPr>
        <w:t xml:space="preserve">o </w:t>
      </w:r>
      <w:r w:rsidR="00690DB0">
        <w:rPr>
          <w:rFonts w:asciiTheme="minorHAnsi" w:eastAsiaTheme="minorHAnsi" w:hAnsiTheme="minorHAnsi" w:cstheme="minorHAnsi"/>
          <w:color w:val="auto"/>
          <w:sz w:val="22"/>
          <w:szCs w:val="22"/>
        </w:rPr>
        <w:t xml:space="preserve">also </w:t>
      </w:r>
      <w:r w:rsidRPr="00A47DA6">
        <w:rPr>
          <w:rFonts w:asciiTheme="minorHAnsi" w:eastAsiaTheme="minorHAnsi" w:hAnsiTheme="minorHAnsi" w:cstheme="minorHAnsi"/>
          <w:color w:val="auto"/>
          <w:sz w:val="22"/>
          <w:szCs w:val="22"/>
        </w:rPr>
        <w:t xml:space="preserve">consider using intervention powers if an academy is deemed to be in breach of the regulations. </w:t>
      </w:r>
    </w:p>
    <w:p w14:paraId="529F3EC8" w14:textId="3FF4E974" w:rsidR="001A72D0" w:rsidRPr="00D47ABA" w:rsidRDefault="00E31241" w:rsidP="00A47DA6">
      <w:pPr>
        <w:pStyle w:val="BodyTextGrey"/>
        <w:numPr>
          <w:ilvl w:val="0"/>
          <w:numId w:val="90"/>
        </w:numPr>
        <w:spacing w:before="0" w:after="160" w:line="288" w:lineRule="auto"/>
        <w:ind w:left="357" w:hanging="357"/>
        <w:contextualSpacing/>
        <w:rPr>
          <w:rFonts w:cstheme="minorHAnsi"/>
        </w:rPr>
      </w:pPr>
      <w:r w:rsidRPr="00C741B5">
        <w:rPr>
          <w:rFonts w:asciiTheme="minorHAnsi" w:eastAsiaTheme="minorHAnsi" w:hAnsiTheme="minorHAnsi" w:cstheme="minorHAnsi"/>
          <w:iCs w:val="0"/>
          <w:color w:val="auto"/>
          <w:sz w:val="22"/>
          <w:szCs w:val="22"/>
        </w:rPr>
        <w:t>Other bodies with a financial interest (outsourcing employers)</w:t>
      </w:r>
    </w:p>
    <w:p w14:paraId="5C06CB35" w14:textId="31ACDAE9" w:rsidR="00731903" w:rsidRDefault="00731903" w:rsidP="00083AD7">
      <w:pPr>
        <w:pStyle w:val="Heading3"/>
      </w:pPr>
      <w:bookmarkStart w:id="73" w:name="_Toc194482913"/>
      <w:r>
        <w:t>B</w:t>
      </w:r>
      <w:r w:rsidR="001A72D0">
        <w:t>6</w:t>
      </w:r>
      <w:r>
        <w:t xml:space="preserve"> Other parties:</w:t>
      </w:r>
      <w:bookmarkEnd w:id="73"/>
      <w:r>
        <w:t xml:space="preserve"> </w:t>
      </w:r>
    </w:p>
    <w:p w14:paraId="45974846" w14:textId="019DBC07" w:rsidR="00083AD7" w:rsidRDefault="00731903" w:rsidP="00A47DA6">
      <w:pPr>
        <w:pStyle w:val="ListParagraph"/>
        <w:numPr>
          <w:ilvl w:val="0"/>
          <w:numId w:val="43"/>
        </w:numPr>
        <w:spacing w:line="288" w:lineRule="auto"/>
        <w:ind w:left="357" w:hanging="357"/>
      </w:pPr>
      <w:r>
        <w:t xml:space="preserve">internal and external investment advisers ensure the investment strategy statement (ISS) is consistent with the </w:t>
      </w:r>
      <w:r w:rsidR="00AE3F19">
        <w:t>Fund</w:t>
      </w:r>
      <w:r>
        <w:t xml:space="preserve">ing strategy statement </w:t>
      </w:r>
    </w:p>
    <w:p w14:paraId="7A1B04CC" w14:textId="7647EC74" w:rsidR="00083AD7" w:rsidRDefault="00731903" w:rsidP="00A47DA6">
      <w:pPr>
        <w:pStyle w:val="ListParagraph"/>
        <w:numPr>
          <w:ilvl w:val="0"/>
          <w:numId w:val="43"/>
        </w:numPr>
        <w:spacing w:line="288" w:lineRule="auto"/>
        <w:ind w:left="357" w:hanging="357"/>
      </w:pPr>
      <w:r>
        <w:t xml:space="preserve">investment managers, custodians and bankers play their part in the effective investment and dis-investment of </w:t>
      </w:r>
      <w:r w:rsidR="00AE3F19">
        <w:t>Fund</w:t>
      </w:r>
      <w:r>
        <w:t xml:space="preserve"> assets in line with the ISS</w:t>
      </w:r>
    </w:p>
    <w:p w14:paraId="7CE55FA7" w14:textId="001B1D96" w:rsidR="00083AD7" w:rsidRDefault="00731903" w:rsidP="00A47DA6">
      <w:pPr>
        <w:pStyle w:val="ListParagraph"/>
        <w:numPr>
          <w:ilvl w:val="0"/>
          <w:numId w:val="43"/>
        </w:numPr>
        <w:spacing w:line="288" w:lineRule="auto"/>
        <w:ind w:left="357" w:hanging="357"/>
      </w:pPr>
      <w:r>
        <w:t xml:space="preserve">auditors comply with standards, ensure </w:t>
      </w:r>
      <w:r w:rsidR="00AE3F19">
        <w:t>Fund</w:t>
      </w:r>
      <w:r>
        <w:t xml:space="preserve"> compliance with requirements, monitor and advise on fraud detection, and sign-off annual reports and financial statements </w:t>
      </w:r>
    </w:p>
    <w:p w14:paraId="5484E626" w14:textId="77777777" w:rsidR="00083AD7" w:rsidRDefault="00731903" w:rsidP="00A47DA6">
      <w:pPr>
        <w:pStyle w:val="ListParagraph"/>
        <w:numPr>
          <w:ilvl w:val="0"/>
          <w:numId w:val="43"/>
        </w:numPr>
        <w:spacing w:line="288" w:lineRule="auto"/>
        <w:ind w:left="357" w:hanging="357"/>
      </w:pPr>
      <w:r>
        <w:lastRenderedPageBreak/>
        <w:t xml:space="preserve">governance advisers may be asked to advise the administering authority on processes and working methods </w:t>
      </w:r>
    </w:p>
    <w:p w14:paraId="107EAA78" w14:textId="6A858ED8" w:rsidR="00083AD7" w:rsidRDefault="00731903" w:rsidP="00A47DA6">
      <w:pPr>
        <w:pStyle w:val="ListParagraph"/>
        <w:numPr>
          <w:ilvl w:val="0"/>
          <w:numId w:val="43"/>
        </w:numPr>
        <w:spacing w:line="288" w:lineRule="auto"/>
        <w:ind w:left="357" w:hanging="357"/>
      </w:pPr>
      <w:r>
        <w:t xml:space="preserve">internal and external legal advisers ensure the </w:t>
      </w:r>
      <w:r w:rsidR="00AE3F19">
        <w:t>Fund</w:t>
      </w:r>
      <w:r>
        <w:t xml:space="preserve"> complies with all regulations and broader local government requirements, including the administering authority’s own procedures</w:t>
      </w:r>
    </w:p>
    <w:p w14:paraId="265EA6E2" w14:textId="0CDF65F5" w:rsidR="00F64E24" w:rsidRDefault="00731903" w:rsidP="00A47DA6">
      <w:pPr>
        <w:pStyle w:val="ListParagraph"/>
        <w:numPr>
          <w:ilvl w:val="0"/>
          <w:numId w:val="43"/>
        </w:numPr>
        <w:spacing w:line="288" w:lineRule="auto"/>
        <w:ind w:left="357" w:hanging="357"/>
      </w:pPr>
      <w:r>
        <w:t>the</w:t>
      </w:r>
      <w:r w:rsidR="00F858EA">
        <w:t xml:space="preserve"> </w:t>
      </w:r>
      <w:r w:rsidR="00F858EA" w:rsidRPr="00A47DA6">
        <w:t>Ministry for Housing, Communities and Local Government</w:t>
      </w:r>
      <w:r w:rsidRPr="003A4B4A">
        <w:t>, assisted</w:t>
      </w:r>
      <w:r>
        <w:t xml:space="preserve"> by the Government Actuary’s Department and the Scheme Advisory Board, work with LGPS </w:t>
      </w:r>
      <w:r w:rsidR="00AE3F19">
        <w:t>Fund</w:t>
      </w:r>
      <w:r>
        <w:t>s to meet Section 13 requirements.</w:t>
      </w:r>
    </w:p>
    <w:p w14:paraId="777BBFDB" w14:textId="77777777" w:rsidR="003A4B4A" w:rsidRDefault="003A4B4A">
      <w:pPr>
        <w:rPr>
          <w:rFonts w:ascii="Calibri" w:eastAsiaTheme="majorEastAsia" w:hAnsi="Calibri" w:cstheme="majorBidi"/>
          <w:b/>
          <w:color w:val="244D7A"/>
          <w:sz w:val="24"/>
          <w:szCs w:val="26"/>
        </w:rPr>
      </w:pPr>
      <w:bookmarkStart w:id="74" w:name="_Toc194482914"/>
      <w:r>
        <w:br w:type="page"/>
      </w:r>
    </w:p>
    <w:p w14:paraId="44659047" w14:textId="128445F0" w:rsidR="00D61B94" w:rsidRPr="00932A11" w:rsidRDefault="00D61B94" w:rsidP="00D61B94">
      <w:pPr>
        <w:pStyle w:val="Heading2"/>
        <w:rPr>
          <w:rFonts w:asciiTheme="minorHAnsi" w:hAnsiTheme="minorHAnsi" w:cstheme="minorHAnsi"/>
        </w:rPr>
      </w:pPr>
      <w:r w:rsidRPr="00A47DA6">
        <w:lastRenderedPageBreak/>
        <w:t>Appendix C – Glossary</w:t>
      </w:r>
      <w:bookmarkEnd w:id="74"/>
    </w:p>
    <w:p w14:paraId="075CD4E7" w14:textId="77777777" w:rsidR="00D61B94" w:rsidRPr="00634895" w:rsidRDefault="00D61B94" w:rsidP="00D61B94">
      <w:pPr>
        <w:rPr>
          <w:rFonts w:cstheme="minorHAnsi"/>
        </w:rPr>
      </w:pPr>
    </w:p>
    <w:p w14:paraId="0F6064FB" w14:textId="77777777" w:rsidR="00D61B94" w:rsidRPr="00932A11" w:rsidRDefault="00D61B94" w:rsidP="001E179F">
      <w:pPr>
        <w:pStyle w:val="Heading3"/>
      </w:pPr>
      <w:r w:rsidRPr="00932A11">
        <w:t>Actuarial certificates</w:t>
      </w:r>
    </w:p>
    <w:p w14:paraId="000EBA78" w14:textId="77777777" w:rsidR="00D61B94" w:rsidRPr="00634895" w:rsidRDefault="00D61B94" w:rsidP="00D61B94">
      <w:pPr>
        <w:rPr>
          <w:rFonts w:cstheme="minorHAnsi"/>
        </w:rPr>
      </w:pPr>
      <w:r w:rsidRPr="00634895">
        <w:rPr>
          <w:rFonts w:cstheme="minorHAnsi"/>
        </w:rPr>
        <w:t>A statement of the contributions payable by the employer (see also rates and adjustments certificate). The effective date is 12 months after the completion of the valuation.</w:t>
      </w:r>
    </w:p>
    <w:p w14:paraId="5014336F" w14:textId="77777777" w:rsidR="00D61B94" w:rsidRPr="00932A11" w:rsidRDefault="00D61B94" w:rsidP="001E179F">
      <w:pPr>
        <w:pStyle w:val="Heading3"/>
      </w:pPr>
      <w:r w:rsidRPr="00932A11">
        <w:t>Actuarial valuation</w:t>
      </w:r>
    </w:p>
    <w:p w14:paraId="3205F8C0" w14:textId="5E68B406" w:rsidR="00D61B94" w:rsidRPr="00634895" w:rsidRDefault="00D61B94" w:rsidP="00D61B94">
      <w:pPr>
        <w:rPr>
          <w:rFonts w:cstheme="minorHAnsi"/>
        </w:rPr>
      </w:pPr>
      <w:r w:rsidRPr="00634895">
        <w:rPr>
          <w:rFonts w:cstheme="minorHAnsi"/>
        </w:rPr>
        <w:t>An investigation by an actuary, appointed by an Administering Authority into the costs of the scheme and the ability of the fund managed by that authority to meet its liabilities. This assesses the funding level and recommended employer contribution rates</w:t>
      </w:r>
      <w:r w:rsidR="00690DB0">
        <w:rPr>
          <w:rFonts w:cstheme="minorHAnsi"/>
        </w:rPr>
        <w:t>. The valuation is</w:t>
      </w:r>
      <w:r w:rsidRPr="00634895">
        <w:rPr>
          <w:rFonts w:cstheme="minorHAnsi"/>
        </w:rPr>
        <w:t xml:space="preserve"> based on estimating the cost of pensions both in payment and those yet to be paid and comparing this to the value of the assets held in the Fund. Valuations take place every three years (triennial).</w:t>
      </w:r>
    </w:p>
    <w:p w14:paraId="2A24B38B" w14:textId="77777777" w:rsidR="00D61B94" w:rsidRPr="00932A11" w:rsidRDefault="00D61B94" w:rsidP="001E179F">
      <w:pPr>
        <w:pStyle w:val="Heading3"/>
      </w:pPr>
      <w:r w:rsidRPr="00932A11">
        <w:t>Administering Authority (referred to as ‘the fund’)</w:t>
      </w:r>
    </w:p>
    <w:p w14:paraId="5D08B482" w14:textId="0B3B9021" w:rsidR="00D61B94" w:rsidRPr="00634895" w:rsidRDefault="00D61B94" w:rsidP="00D61B94">
      <w:pPr>
        <w:rPr>
          <w:rFonts w:cstheme="minorHAnsi"/>
        </w:rPr>
      </w:pPr>
      <w:r w:rsidRPr="00634895">
        <w:rPr>
          <w:rFonts w:cstheme="minorHAnsi"/>
        </w:rPr>
        <w:t>A body listed in Part 1 of Schedule 3 of the regulations who maintains a fund within the LGPS</w:t>
      </w:r>
      <w:r w:rsidR="00692465">
        <w:rPr>
          <w:rFonts w:cstheme="minorHAnsi"/>
        </w:rPr>
        <w:t>.</w:t>
      </w:r>
      <w:r w:rsidRPr="00634895">
        <w:rPr>
          <w:rFonts w:cstheme="minorHAnsi"/>
        </w:rPr>
        <w:t xml:space="preserve">  </w:t>
      </w:r>
      <w:r w:rsidR="00692465">
        <w:rPr>
          <w:rFonts w:cstheme="minorHAnsi"/>
        </w:rPr>
        <w:t xml:space="preserve">The administering authority has </w:t>
      </w:r>
      <w:r w:rsidRPr="00634895">
        <w:rPr>
          <w:rFonts w:cstheme="minorHAnsi"/>
        </w:rPr>
        <w:t>a statutory duty to manage and administer the LGPS and maintain a pension fund (the fund). Usually, but not restricted to being, a local authority.</w:t>
      </w:r>
    </w:p>
    <w:p w14:paraId="3201D756" w14:textId="77777777" w:rsidR="00D61B94" w:rsidRPr="00932A11" w:rsidRDefault="00D61B94" w:rsidP="001E179F">
      <w:pPr>
        <w:pStyle w:val="Heading3"/>
      </w:pPr>
      <w:r w:rsidRPr="00932A11">
        <w:t>Admission agreement</w:t>
      </w:r>
    </w:p>
    <w:p w14:paraId="0BAEDE9A" w14:textId="77777777" w:rsidR="00D61B94" w:rsidRPr="00634895" w:rsidRDefault="00D61B94" w:rsidP="00D61B94">
      <w:pPr>
        <w:rPr>
          <w:rFonts w:cstheme="minorHAnsi"/>
        </w:rPr>
      </w:pPr>
      <w:r w:rsidRPr="00634895">
        <w:rPr>
          <w:rFonts w:cstheme="minorHAnsi"/>
        </w:rPr>
        <w:t>A written agreement which provides for a body to participate in the LGPS as a scheme employer</w:t>
      </w:r>
    </w:p>
    <w:p w14:paraId="4E9E840D" w14:textId="77777777" w:rsidR="00D61B94" w:rsidRPr="00932A11" w:rsidRDefault="00D61B94" w:rsidP="001E179F">
      <w:pPr>
        <w:pStyle w:val="Heading3"/>
      </w:pPr>
      <w:r w:rsidRPr="00932A11">
        <w:t>Assumptions</w:t>
      </w:r>
    </w:p>
    <w:p w14:paraId="323CB2DA" w14:textId="0714F05F" w:rsidR="00D61B94" w:rsidRPr="00634895" w:rsidRDefault="00D61B94" w:rsidP="00D61B94">
      <w:pPr>
        <w:rPr>
          <w:rFonts w:cstheme="minorHAnsi"/>
        </w:rPr>
      </w:pPr>
      <w:r w:rsidRPr="00634895">
        <w:rPr>
          <w:rFonts w:cstheme="minorHAnsi"/>
        </w:rPr>
        <w:t>Forecasts of future experience which impact the costs of the scheme. For example, pay growth, longevity of pensioners, inflation, and investment returns</w:t>
      </w:r>
      <w:r w:rsidR="00941736">
        <w:rPr>
          <w:rFonts w:cstheme="minorHAnsi"/>
        </w:rPr>
        <w:t>.</w:t>
      </w:r>
    </w:p>
    <w:p w14:paraId="5DA61DA6" w14:textId="77777777" w:rsidR="00D61B94" w:rsidRPr="00932A11" w:rsidRDefault="00D61B94" w:rsidP="001E179F">
      <w:pPr>
        <w:pStyle w:val="Heading3"/>
      </w:pPr>
      <w:r w:rsidRPr="00932A11">
        <w:t>Code of Practice</w:t>
      </w:r>
    </w:p>
    <w:p w14:paraId="48CC5BF2" w14:textId="77777777" w:rsidR="00D61B94" w:rsidRPr="00634895" w:rsidRDefault="00D61B94" w:rsidP="00D61B94">
      <w:pPr>
        <w:rPr>
          <w:rFonts w:cstheme="minorHAnsi"/>
        </w:rPr>
      </w:pPr>
      <w:r w:rsidRPr="00634895">
        <w:rPr>
          <w:rFonts w:cstheme="minorHAnsi"/>
        </w:rPr>
        <w:t>The Pensions Regulator’s General Code of Practice.</w:t>
      </w:r>
    </w:p>
    <w:p w14:paraId="62F0294E" w14:textId="77777777" w:rsidR="00D61B94" w:rsidRPr="00932A11" w:rsidRDefault="00D61B94" w:rsidP="001E179F">
      <w:pPr>
        <w:pStyle w:val="Heading3"/>
      </w:pPr>
      <w:r w:rsidRPr="00932A11">
        <w:t>Debt spreading arrangement</w:t>
      </w:r>
    </w:p>
    <w:p w14:paraId="326D7FBC" w14:textId="77777777" w:rsidR="00D61B94" w:rsidRPr="00634895" w:rsidRDefault="00D61B94" w:rsidP="00D61B94">
      <w:pPr>
        <w:rPr>
          <w:rFonts w:cstheme="minorHAnsi"/>
        </w:rPr>
      </w:pPr>
      <w:r w:rsidRPr="00634895">
        <w:rPr>
          <w:rFonts w:cstheme="minorHAnsi"/>
        </w:rPr>
        <w:t>The ability to spread an exit payment over a period of time</w:t>
      </w:r>
    </w:p>
    <w:p w14:paraId="2DCA2671" w14:textId="77777777" w:rsidR="00D61B94" w:rsidRPr="00932A11" w:rsidRDefault="00D61B94" w:rsidP="001E179F">
      <w:pPr>
        <w:pStyle w:val="Heading3"/>
      </w:pPr>
      <w:r w:rsidRPr="00932A11">
        <w:t>Deferred debt agreement</w:t>
      </w:r>
    </w:p>
    <w:p w14:paraId="3F317A0B" w14:textId="77777777" w:rsidR="00D61B94" w:rsidRPr="00634895" w:rsidRDefault="00D61B94" w:rsidP="00D61B94">
      <w:pPr>
        <w:rPr>
          <w:rFonts w:cstheme="minorHAnsi"/>
        </w:rPr>
      </w:pPr>
      <w:r w:rsidRPr="00634895">
        <w:rPr>
          <w:rFonts w:cstheme="minorHAnsi"/>
        </w:rPr>
        <w:t>An agreement for an employer to continue to participate in the LGPS without any contributing scheme members</w:t>
      </w:r>
    </w:p>
    <w:p w14:paraId="6823CC4A" w14:textId="77777777" w:rsidR="00D61B94" w:rsidRPr="00932A11" w:rsidRDefault="00D61B94" w:rsidP="001E179F">
      <w:pPr>
        <w:pStyle w:val="Heading3"/>
      </w:pPr>
      <w:r w:rsidRPr="00932A11">
        <w:t>Employer covenant</w:t>
      </w:r>
    </w:p>
    <w:p w14:paraId="406119FC" w14:textId="77777777" w:rsidR="00D61B94" w:rsidRPr="00634895" w:rsidRDefault="00D61B94" w:rsidP="00D61B94">
      <w:pPr>
        <w:rPr>
          <w:rFonts w:cstheme="minorHAnsi"/>
        </w:rPr>
      </w:pPr>
      <w:r w:rsidRPr="00634895">
        <w:rPr>
          <w:rFonts w:cstheme="minorHAnsi"/>
        </w:rPr>
        <w:t>The extent of the employer’s legal obligation and financial ability to support its pension scheme now and in the future.</w:t>
      </w:r>
    </w:p>
    <w:p w14:paraId="682EAFFC" w14:textId="77777777" w:rsidR="00D61B94" w:rsidRPr="00932A11" w:rsidRDefault="00D61B94" w:rsidP="001E179F">
      <w:pPr>
        <w:pStyle w:val="Heading3"/>
      </w:pPr>
      <w:r w:rsidRPr="00932A11">
        <w:t>Funding level</w:t>
      </w:r>
    </w:p>
    <w:p w14:paraId="622255C6" w14:textId="55228F2D" w:rsidR="00D61B94" w:rsidRDefault="00D61B94" w:rsidP="00D61B94">
      <w:pPr>
        <w:rPr>
          <w:rFonts w:cstheme="minorHAnsi"/>
        </w:rPr>
      </w:pPr>
      <w:r w:rsidRPr="00634895">
        <w:rPr>
          <w:rFonts w:cstheme="minorHAnsi"/>
        </w:rPr>
        <w:t>The funding level is the value of assets compare</w:t>
      </w:r>
      <w:r w:rsidR="008E594F">
        <w:rPr>
          <w:rFonts w:cstheme="minorHAnsi"/>
        </w:rPr>
        <w:t>d</w:t>
      </w:r>
      <w:r w:rsidRPr="00634895">
        <w:rPr>
          <w:rFonts w:cstheme="minorHAnsi"/>
        </w:rPr>
        <w:t xml:space="preserve"> with the liabilities. It can be expressed as a ratio of the assets and liabilities (known as the funding level) or as the difference between the assets and liabilities (referred to as a surplus or deficit).</w:t>
      </w:r>
    </w:p>
    <w:p w14:paraId="5A41771A" w14:textId="77777777" w:rsidR="00D61B94" w:rsidRPr="00932A11" w:rsidRDefault="00D61B94" w:rsidP="001E179F">
      <w:pPr>
        <w:pStyle w:val="Heading3"/>
      </w:pPr>
      <w:r w:rsidRPr="00932A11">
        <w:t>Fund valuation date</w:t>
      </w:r>
    </w:p>
    <w:p w14:paraId="1C83090C" w14:textId="77777777" w:rsidR="00D61B94" w:rsidRPr="00634895" w:rsidRDefault="00D61B94" w:rsidP="00D61B94">
      <w:pPr>
        <w:rPr>
          <w:rFonts w:cstheme="minorHAnsi"/>
        </w:rPr>
      </w:pPr>
      <w:r w:rsidRPr="00634895">
        <w:rPr>
          <w:rFonts w:cstheme="minorHAnsi"/>
        </w:rPr>
        <w:t>The effective date of the triennial fund valuation.</w:t>
      </w:r>
    </w:p>
    <w:p w14:paraId="69FEDAB6" w14:textId="77777777" w:rsidR="00D61B94" w:rsidRPr="00932A11" w:rsidRDefault="00D61B94" w:rsidP="001E179F">
      <w:pPr>
        <w:pStyle w:val="Heading3"/>
      </w:pPr>
      <w:r w:rsidRPr="00932A11">
        <w:t>Guarantee / guarantor</w:t>
      </w:r>
    </w:p>
    <w:p w14:paraId="711971A6" w14:textId="77777777" w:rsidR="00D61B94" w:rsidRPr="00634895" w:rsidRDefault="00D61B94" w:rsidP="00D61B94">
      <w:pPr>
        <w:rPr>
          <w:rFonts w:cstheme="minorHAnsi"/>
        </w:rPr>
      </w:pPr>
      <w:r w:rsidRPr="00634895">
        <w:rPr>
          <w:rFonts w:cstheme="minorHAnsi"/>
        </w:rPr>
        <w:t>A formal promise by a third party (the guarantor) that it will meet any pension obligations not met by a specified employer. The presence of a guarantor will mean, for instance, that the fund can consider the employer’s covenant to be as strong as its guarantor’s.</w:t>
      </w:r>
    </w:p>
    <w:p w14:paraId="7829DEF8" w14:textId="77777777" w:rsidR="00D61B94" w:rsidRPr="00932A11" w:rsidRDefault="00D61B94" w:rsidP="001E179F">
      <w:pPr>
        <w:pStyle w:val="Heading3"/>
      </w:pPr>
      <w:r w:rsidRPr="00932A11">
        <w:lastRenderedPageBreak/>
        <w:t>Local Pension Board</w:t>
      </w:r>
    </w:p>
    <w:p w14:paraId="795BBF0F" w14:textId="77777777" w:rsidR="00D61B94" w:rsidRPr="00634895" w:rsidRDefault="00D61B94" w:rsidP="00D61B94">
      <w:pPr>
        <w:rPr>
          <w:rFonts w:cstheme="minorHAnsi"/>
        </w:rPr>
      </w:pPr>
      <w:r w:rsidRPr="00634895">
        <w:rPr>
          <w:rFonts w:cstheme="minorHAnsi"/>
        </w:rPr>
        <w:t>The board established to assist the Administering Authority as the Scheme Manager for each Fund.</w:t>
      </w:r>
    </w:p>
    <w:p w14:paraId="4FBDA31A" w14:textId="77777777" w:rsidR="00D61B94" w:rsidRPr="00932A11" w:rsidRDefault="00D61B94" w:rsidP="001E179F">
      <w:pPr>
        <w:pStyle w:val="Heading3"/>
      </w:pPr>
      <w:r w:rsidRPr="00932A11">
        <w:t>Non-statutory guidance</w:t>
      </w:r>
    </w:p>
    <w:p w14:paraId="3926F1A4" w14:textId="77777777" w:rsidR="00D61B94" w:rsidRPr="00634895" w:rsidRDefault="00D61B94" w:rsidP="00D61B94">
      <w:pPr>
        <w:rPr>
          <w:rFonts w:cstheme="minorHAnsi"/>
        </w:rPr>
      </w:pPr>
      <w:r w:rsidRPr="00634895">
        <w:rPr>
          <w:rFonts w:cstheme="minorHAnsi"/>
        </w:rPr>
        <w:t>Guidance which although it confers no statutory obligation on the parties named, they should nevertheless have regard to its contents</w:t>
      </w:r>
    </w:p>
    <w:p w14:paraId="2610E836" w14:textId="77777777" w:rsidR="00D61B94" w:rsidRPr="00932A11" w:rsidRDefault="00D61B94" w:rsidP="001E179F">
      <w:pPr>
        <w:pStyle w:val="Heading3"/>
      </w:pPr>
      <w:r w:rsidRPr="00932A11">
        <w:t>Notifiable events</w:t>
      </w:r>
    </w:p>
    <w:p w14:paraId="71A92BF7" w14:textId="77777777" w:rsidR="00D61B94" w:rsidRPr="00634895" w:rsidRDefault="00D61B94" w:rsidP="00D61B94">
      <w:pPr>
        <w:rPr>
          <w:rFonts w:cstheme="minorHAnsi"/>
        </w:rPr>
      </w:pPr>
      <w:r w:rsidRPr="00634895">
        <w:rPr>
          <w:rFonts w:cstheme="minorHAnsi"/>
        </w:rPr>
        <w:t>Events which the employer should make the Administering Authority aware of</w:t>
      </w:r>
    </w:p>
    <w:p w14:paraId="0208A675" w14:textId="77777777" w:rsidR="00D61B94" w:rsidRPr="00634895" w:rsidRDefault="00D61B94" w:rsidP="001E179F">
      <w:pPr>
        <w:pStyle w:val="Heading3"/>
      </w:pPr>
      <w:r w:rsidRPr="00932A11">
        <w:t>Past service liabilities</w:t>
      </w:r>
    </w:p>
    <w:p w14:paraId="6CC4C2CD" w14:textId="77777777" w:rsidR="00F51839" w:rsidRDefault="00D61B94" w:rsidP="00D61B94">
      <w:pPr>
        <w:rPr>
          <w:rFonts w:cstheme="minorHAnsi"/>
        </w:rPr>
      </w:pPr>
      <w:r w:rsidRPr="00634895">
        <w:rPr>
          <w:rFonts w:cstheme="minorHAnsi"/>
        </w:rPr>
        <w:t xml:space="preserve">The cost of pensions already built up or in payment </w:t>
      </w:r>
    </w:p>
    <w:p w14:paraId="29D827DD" w14:textId="77777777" w:rsidR="00F51839" w:rsidRPr="008E594F" w:rsidRDefault="00F51839" w:rsidP="001E179F">
      <w:pPr>
        <w:pStyle w:val="Heading3"/>
      </w:pPr>
      <w:r w:rsidRPr="008E594F">
        <w:t>Pensions Committee</w:t>
      </w:r>
    </w:p>
    <w:p w14:paraId="20E69692" w14:textId="6EB57FA8" w:rsidR="00D61B94" w:rsidRPr="00634895" w:rsidRDefault="00C44527" w:rsidP="00D61B94">
      <w:pPr>
        <w:rPr>
          <w:rFonts w:cstheme="minorHAnsi"/>
        </w:rPr>
      </w:pPr>
      <w:r>
        <w:rPr>
          <w:rFonts w:cstheme="minorHAnsi"/>
        </w:rPr>
        <w:t xml:space="preserve">A </w:t>
      </w:r>
      <w:r w:rsidR="00D61B94" w:rsidRPr="00634895">
        <w:rPr>
          <w:rFonts w:cstheme="minorHAnsi"/>
        </w:rPr>
        <w:t xml:space="preserve">committee or sub-committee to which an </w:t>
      </w:r>
      <w:r w:rsidRPr="00C44527">
        <w:rPr>
          <w:rFonts w:cstheme="minorHAnsi"/>
          <w:iCs/>
        </w:rPr>
        <w:t>administering authority has delegated its pension function</w:t>
      </w:r>
    </w:p>
    <w:p w14:paraId="492B1E21" w14:textId="77777777" w:rsidR="00D61B94" w:rsidRPr="00932A11" w:rsidRDefault="00D61B94" w:rsidP="001E179F">
      <w:pPr>
        <w:pStyle w:val="Heading3"/>
      </w:pPr>
      <w:r w:rsidRPr="00932A11">
        <w:t>Pensions Administration Strategy</w:t>
      </w:r>
    </w:p>
    <w:p w14:paraId="162FC696" w14:textId="77777777" w:rsidR="00D61B94" w:rsidRPr="00634895" w:rsidRDefault="00D61B94" w:rsidP="00D61B94">
      <w:pPr>
        <w:rPr>
          <w:rFonts w:cstheme="minorHAnsi"/>
        </w:rPr>
      </w:pPr>
      <w:r w:rsidRPr="00634895">
        <w:rPr>
          <w:rFonts w:cstheme="minorHAnsi"/>
        </w:rPr>
        <w:t>A statement of the duties and responsibilities of scheme employers and Administering Authorities to ensure the effective management of the scheme</w:t>
      </w:r>
    </w:p>
    <w:p w14:paraId="41E21FDD" w14:textId="77777777" w:rsidR="00D61B94" w:rsidRPr="00932A11" w:rsidRDefault="00D61B94" w:rsidP="001E179F">
      <w:pPr>
        <w:pStyle w:val="Heading3"/>
      </w:pPr>
      <w:r w:rsidRPr="00932A11">
        <w:t>Primary and secondary employer contributions</w:t>
      </w:r>
    </w:p>
    <w:p w14:paraId="1AED440B" w14:textId="0A9701BF" w:rsidR="00D61B94" w:rsidRPr="00634895" w:rsidRDefault="00D61B94" w:rsidP="00D61B94">
      <w:pPr>
        <w:rPr>
          <w:rFonts w:cstheme="minorHAnsi"/>
        </w:rPr>
      </w:pPr>
      <w:r w:rsidRPr="00634895">
        <w:rPr>
          <w:rFonts w:cstheme="minorHAnsi"/>
        </w:rPr>
        <w:t>Primary employer contributions meet the future costs of the scheme</w:t>
      </w:r>
      <w:r w:rsidR="00616CEE">
        <w:rPr>
          <w:rFonts w:cstheme="minorHAnsi"/>
        </w:rPr>
        <w:t>.</w:t>
      </w:r>
      <w:r w:rsidRPr="00634895">
        <w:rPr>
          <w:rFonts w:cstheme="minorHAnsi"/>
        </w:rPr>
        <w:t xml:space="preserve"> Secondary employer contributions meet the costs already built up (adjusted to reflect the experience of each scheme employer). Contributions will therefore vary across scheme employers within a Fund.</w:t>
      </w:r>
    </w:p>
    <w:p w14:paraId="1B581CE9" w14:textId="77777777" w:rsidR="00D61B94" w:rsidRPr="00932A11" w:rsidRDefault="00D61B94" w:rsidP="001E179F">
      <w:pPr>
        <w:pStyle w:val="Heading3"/>
      </w:pPr>
      <w:r w:rsidRPr="00932A11">
        <w:t>Rates and adjustments certificate</w:t>
      </w:r>
    </w:p>
    <w:p w14:paraId="1E59D1FD" w14:textId="77777777" w:rsidR="00D61B94" w:rsidRPr="00634895" w:rsidRDefault="00D61B94" w:rsidP="00D61B94">
      <w:pPr>
        <w:rPr>
          <w:rFonts w:cstheme="minorHAnsi"/>
        </w:rPr>
      </w:pPr>
      <w:r w:rsidRPr="00634895">
        <w:rPr>
          <w:rFonts w:cstheme="minorHAnsi"/>
        </w:rPr>
        <w:t>A statement of the contributions payable by each scheme employer (see actuarial certificates)</w:t>
      </w:r>
    </w:p>
    <w:p w14:paraId="76D9AB5A" w14:textId="77777777" w:rsidR="00D61B94" w:rsidRPr="00932A11" w:rsidRDefault="00D61B94" w:rsidP="001E179F">
      <w:pPr>
        <w:pStyle w:val="Heading3"/>
      </w:pPr>
      <w:r w:rsidRPr="00932A11">
        <w:t>Scheme Manager</w:t>
      </w:r>
    </w:p>
    <w:p w14:paraId="178F90BC" w14:textId="77777777" w:rsidR="00D61B94" w:rsidRPr="00634895" w:rsidRDefault="00D61B94" w:rsidP="00D61B94">
      <w:pPr>
        <w:rPr>
          <w:rFonts w:cstheme="minorHAnsi"/>
        </w:rPr>
      </w:pPr>
      <w:r w:rsidRPr="00634895">
        <w:rPr>
          <w:rFonts w:cstheme="minorHAnsi"/>
        </w:rPr>
        <w:t>A person or body responsible for managing or administering a pension scheme established under section 1 of the 2013 Act. In the case of the LGPS, each Fund has a Scheme Manager which is the Administering Authority.</w:t>
      </w:r>
    </w:p>
    <w:p w14:paraId="4EBF3A7D" w14:textId="665E7377" w:rsidR="00083AD7" w:rsidRDefault="00083AD7">
      <w:r>
        <w:br w:type="page"/>
      </w:r>
    </w:p>
    <w:p w14:paraId="20A5C461" w14:textId="6A978C92" w:rsidR="00083AD7" w:rsidRDefault="00083AD7" w:rsidP="00083AD7">
      <w:pPr>
        <w:pStyle w:val="Heading2"/>
      </w:pPr>
      <w:bookmarkStart w:id="75" w:name="_Toc194482915"/>
      <w:r>
        <w:lastRenderedPageBreak/>
        <w:t xml:space="preserve">Appendix </w:t>
      </w:r>
      <w:r w:rsidR="00EE2B40">
        <w:t>D</w:t>
      </w:r>
      <w:r>
        <w:t xml:space="preserve"> – Risks and controls</w:t>
      </w:r>
      <w:bookmarkEnd w:id="75"/>
      <w:r>
        <w:t xml:space="preserve"> </w:t>
      </w:r>
    </w:p>
    <w:p w14:paraId="126B70CB" w14:textId="080620E1" w:rsidR="00083AD7" w:rsidRDefault="0089730A" w:rsidP="00083AD7">
      <w:pPr>
        <w:pStyle w:val="Heading3"/>
      </w:pPr>
      <w:bookmarkStart w:id="76" w:name="_Toc194482916"/>
      <w:r>
        <w:t>D</w:t>
      </w:r>
      <w:r w:rsidR="00083AD7">
        <w:t>1 Managing risks</w:t>
      </w:r>
      <w:bookmarkEnd w:id="76"/>
      <w:r w:rsidR="00083AD7">
        <w:t xml:space="preserve"> </w:t>
      </w:r>
    </w:p>
    <w:p w14:paraId="3ED2CE06" w14:textId="5E2AB122" w:rsidR="00083AD7" w:rsidRDefault="00083AD7" w:rsidP="00083AD7">
      <w:r>
        <w:t xml:space="preserve">The administering authority has a risk management programme to identify and control financial, demographic, </w:t>
      </w:r>
      <w:r w:rsidR="00616CEE">
        <w:t>legal</w:t>
      </w:r>
      <w:r>
        <w:t xml:space="preserve">, governance, covenant and climate risks. </w:t>
      </w:r>
    </w:p>
    <w:p w14:paraId="38369173" w14:textId="2B3ECB52" w:rsidR="00083AD7" w:rsidRDefault="00083AD7" w:rsidP="00083AD7">
      <w:r>
        <w:t xml:space="preserve">A summary of the key </w:t>
      </w:r>
      <w:r w:rsidR="00AE3F19">
        <w:t>Fund</w:t>
      </w:r>
      <w:r>
        <w:t xml:space="preserve">-specific risks and controls is set out below. For more details, please see the </w:t>
      </w:r>
      <w:r w:rsidR="00AE3F19">
        <w:t>Fund</w:t>
      </w:r>
      <w:r>
        <w:t>’s risk register.</w:t>
      </w:r>
      <w:r w:rsidR="00AE3F19">
        <w:t xml:space="preserve"> </w:t>
      </w:r>
    </w:p>
    <w:p w14:paraId="50808D12" w14:textId="2FBC14F2" w:rsidR="00731903" w:rsidRDefault="0089730A" w:rsidP="00083AD7">
      <w:pPr>
        <w:pStyle w:val="Heading3"/>
      </w:pPr>
      <w:bookmarkStart w:id="77" w:name="_Toc194482917"/>
      <w:r>
        <w:t>D</w:t>
      </w:r>
      <w:r w:rsidR="00083AD7">
        <w:t>2 Financial risks</w:t>
      </w:r>
      <w:bookmarkEnd w:id="77"/>
    </w:p>
    <w:tbl>
      <w:tblPr>
        <w:tblStyle w:val="PlainTable2"/>
        <w:tblW w:w="9815" w:type="dxa"/>
        <w:tblLayout w:type="fixed"/>
        <w:tblLook w:val="01E0" w:firstRow="1" w:lastRow="1" w:firstColumn="1" w:lastColumn="1" w:noHBand="0" w:noVBand="0"/>
      </w:tblPr>
      <w:tblGrid>
        <w:gridCol w:w="4287"/>
        <w:gridCol w:w="5528"/>
      </w:tblGrid>
      <w:tr w:rsidR="003B13C6" w:rsidRPr="00083AD7"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 xml:space="preserve">Control </w:t>
            </w:r>
          </w:p>
        </w:tc>
      </w:tr>
      <w:tr w:rsidR="00344B11" w:rsidRPr="00083AD7"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Anticipate long-term returns on a prudent basis to reduce risk of under-performing.</w:t>
            </w:r>
          </w:p>
          <w:p w14:paraId="2721FB9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Use specialist advice to invest and diversify assets across asset classes, geographies, managers, etc.</w:t>
            </w:r>
          </w:p>
          <w:p w14:paraId="5DBD090C"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Analyse progress at three-year valuations for all employers. </w:t>
            </w:r>
          </w:p>
          <w:p w14:paraId="3810F89D" w14:textId="6DA201E8"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 xml:space="preserve">Roll forward whole </w:t>
            </w:r>
            <w:r w:rsidR="00AE3F19">
              <w:rPr>
                <w:rFonts w:eastAsia="Times New Roman" w:cstheme="minorHAnsi"/>
                <w:b w:val="0"/>
                <w:bCs w:val="0"/>
                <w:iCs/>
              </w:rPr>
              <w:t>Fund</w:t>
            </w:r>
            <w:r w:rsidRPr="00083AD7">
              <w:rPr>
                <w:rFonts w:eastAsia="Times New Roman" w:cstheme="minorHAnsi"/>
                <w:b w:val="0"/>
                <w:bCs w:val="0"/>
                <w:iCs/>
              </w:rPr>
              <w:t xml:space="preserve"> liabilities between valuations. </w:t>
            </w:r>
          </w:p>
        </w:tc>
      </w:tr>
      <w:tr w:rsidR="00083AD7" w:rsidRPr="00083AD7"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Consider overall investment strategy options as part of the </w:t>
            </w:r>
            <w:r w:rsidR="00AE3F19">
              <w:rPr>
                <w:rFonts w:eastAsia="Times New Roman" w:cstheme="minorHAnsi"/>
                <w:b w:val="0"/>
                <w:bCs w:val="0"/>
                <w:iCs/>
              </w:rPr>
              <w:t>Fund</w:t>
            </w:r>
            <w:r w:rsidRPr="00083AD7">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Operate various strategies to meet the needs of a diverse employer group.</w:t>
            </w:r>
          </w:p>
        </w:tc>
      </w:tr>
      <w:tr w:rsidR="00083AD7" w:rsidRPr="00083AD7"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quarterly investment monitoring to analyse market performance and active managers, relative to index benchmark. </w:t>
            </w:r>
          </w:p>
        </w:tc>
      </w:tr>
      <w:tr w:rsidR="00083AD7" w:rsidRPr="00083AD7"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Focus valuation on real returns on assets, net of price and pay increases. </w:t>
            </w:r>
          </w:p>
          <w:p w14:paraId="5069FD32"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inter-valuation monitoring to give early warning. </w:t>
            </w:r>
          </w:p>
          <w:p w14:paraId="0D23540A" w14:textId="07A2B5EB"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Invest in bonds may also help to mitigate this risk.</w:t>
            </w:r>
            <w:r w:rsidR="00AE3F19">
              <w:rPr>
                <w:rFonts w:eastAsia="Times New Roman" w:cstheme="minorHAnsi"/>
                <w:b w:val="0"/>
                <w:bCs w:val="0"/>
                <w:iCs/>
              </w:rPr>
              <w:t xml:space="preserve"> </w:t>
            </w:r>
          </w:p>
          <w:p w14:paraId="1F5BB430" w14:textId="77777777"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Employers to be mindful of the geared effect on pension liabilities of any bias in pensionable pay rises towards longer-serving employees.</w:t>
            </w:r>
            <w:r w:rsidRPr="00083AD7">
              <w:rPr>
                <w:rFonts w:eastAsia="Times New Roman" w:cstheme="minorHAnsi"/>
                <w:b w:val="0"/>
                <w:bCs w:val="0"/>
                <w:i/>
                <w:iCs/>
              </w:rPr>
              <w:t xml:space="preserve"> </w:t>
            </w:r>
          </w:p>
        </w:tc>
      </w:tr>
      <w:tr w:rsidR="00083AD7" w:rsidRPr="00083AD7"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Consider phasing to limit sudden increases in contributions.</w:t>
            </w:r>
          </w:p>
        </w:tc>
      </w:tr>
      <w:tr w:rsidR="00083AD7" w:rsidRPr="00083AD7"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Orphaned employers create added </w:t>
            </w:r>
            <w:r w:rsidR="00AE3F19">
              <w:rPr>
                <w:rFonts w:eastAsia="Times New Roman" w:cstheme="minorHAnsi"/>
                <w:b w:val="0"/>
                <w:bCs w:val="0"/>
                <w:iCs/>
              </w:rPr>
              <w:t>Fund</w:t>
            </w:r>
            <w:r w:rsidRPr="00083AD7">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Seek a cessation debt (or security/guarantor). </w:t>
            </w:r>
          </w:p>
          <w:p w14:paraId="54947EB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Spread added costs among employers.</w:t>
            </w:r>
          </w:p>
        </w:tc>
      </w:tr>
      <w:tr w:rsidR="00083AD7" w:rsidRPr="00083AD7"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2CCABCEF"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This is addressed via the </w:t>
            </w:r>
            <w:r w:rsidR="00AE3F19">
              <w:rPr>
                <w:rFonts w:eastAsia="Times New Roman" w:cstheme="minorHAnsi"/>
                <w:b w:val="0"/>
                <w:bCs w:val="0"/>
                <w:iCs/>
              </w:rPr>
              <w:t>Fund</w:t>
            </w:r>
            <w:r w:rsidRPr="00083AD7">
              <w:rPr>
                <w:rFonts w:eastAsia="Times New Roman" w:cstheme="minorHAnsi"/>
                <w:b w:val="0"/>
                <w:bCs w:val="0"/>
                <w:iCs/>
              </w:rPr>
              <w:t xml:space="preserve">’s risk </w:t>
            </w:r>
            <w:r w:rsidR="00C71BBB" w:rsidRPr="00083AD7">
              <w:rPr>
                <w:rFonts w:eastAsia="Times New Roman" w:cstheme="minorHAnsi"/>
                <w:b w:val="0"/>
                <w:bCs w:val="0"/>
                <w:iCs/>
              </w:rPr>
              <w:t>register;</w:t>
            </w:r>
            <w:r w:rsidRPr="00083AD7">
              <w:rPr>
                <w:rFonts w:eastAsia="Times New Roman" w:cstheme="minorHAnsi"/>
                <w:b w:val="0"/>
                <w:bCs w:val="0"/>
                <w:iCs/>
              </w:rPr>
              <w:t xml:space="preserve"> further information can be found </w:t>
            </w:r>
            <w:hyperlink r:id="rId29" w:history="1">
              <w:r w:rsidRPr="00083AD7">
                <w:rPr>
                  <w:rFonts w:eastAsia="Times New Roman" w:cstheme="minorHAnsi"/>
                  <w:b w:val="0"/>
                  <w:bCs w:val="0"/>
                  <w:iCs/>
                  <w:u w:val="single"/>
                </w:rPr>
                <w:t>here</w:t>
              </w:r>
            </w:hyperlink>
          </w:p>
        </w:tc>
      </w:tr>
    </w:tbl>
    <w:p w14:paraId="10528B3F" w14:textId="7D4A9962" w:rsidR="00B63649" w:rsidRPr="00B63649" w:rsidRDefault="0089730A" w:rsidP="00B63649">
      <w:pPr>
        <w:pStyle w:val="Heading3"/>
        <w:rPr>
          <w:rFonts w:eastAsia="Times New Roman"/>
        </w:rPr>
      </w:pPr>
      <w:bookmarkStart w:id="78" w:name="_Toc16078833"/>
      <w:bookmarkStart w:id="79" w:name="_Toc86162881"/>
      <w:bookmarkStart w:id="80" w:name="_Toc194482918"/>
      <w:r>
        <w:rPr>
          <w:rFonts w:eastAsia="Times New Roman"/>
        </w:rPr>
        <w:lastRenderedPageBreak/>
        <w:t>D</w:t>
      </w:r>
      <w:r w:rsidR="00B63649" w:rsidRPr="00B63649">
        <w:rPr>
          <w:rFonts w:eastAsia="Times New Roman"/>
        </w:rPr>
        <w:t>3 Demographic risks</w:t>
      </w:r>
      <w:bookmarkEnd w:id="78"/>
      <w:bookmarkEnd w:id="79"/>
      <w:bookmarkEnd w:id="80"/>
    </w:p>
    <w:tbl>
      <w:tblPr>
        <w:tblStyle w:val="PlainTable2"/>
        <w:tblW w:w="9639" w:type="dxa"/>
        <w:tblLayout w:type="fixed"/>
        <w:tblLook w:val="01E0" w:firstRow="1" w:lastRow="1" w:firstColumn="1" w:lastColumn="1" w:noHBand="0" w:noVBand="0"/>
      </w:tblPr>
      <w:tblGrid>
        <w:gridCol w:w="4287"/>
        <w:gridCol w:w="5352"/>
      </w:tblGrid>
      <w:tr w:rsidR="00B63649" w:rsidRPr="00B63649"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Pensioners live longer, increasing </w:t>
            </w:r>
            <w:r w:rsidR="00AE3F19">
              <w:rPr>
                <w:rFonts w:eastAsia="Times New Roman" w:cstheme="minorHAnsi"/>
                <w:b w:val="0"/>
                <w:bCs w:val="0"/>
                <w:iCs/>
              </w:rPr>
              <w:t>Fund</w:t>
            </w:r>
            <w:r w:rsidRPr="00B63649">
              <w:rPr>
                <w:rFonts w:eastAsia="Times New Roman" w:cstheme="minorHAnsi"/>
                <w:b w:val="0"/>
                <w:bCs w:val="0"/>
                <w:iCs/>
              </w:rPr>
              <w:t xml:space="preserve"> costs. </w:t>
            </w:r>
          </w:p>
          <w:p w14:paraId="3807F0B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Set mortality assumptions with allowances for future increases in life expectancy. </w:t>
            </w:r>
          </w:p>
          <w:p w14:paraId="77EA29AC" w14:textId="598C99D6"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Use the </w:t>
            </w:r>
            <w:r w:rsidR="00AE3F19">
              <w:rPr>
                <w:rFonts w:eastAsia="Times New Roman" w:cstheme="minorHAnsi"/>
                <w:b w:val="0"/>
                <w:bCs w:val="0"/>
                <w:iCs/>
              </w:rPr>
              <w:t>Fund</w:t>
            </w:r>
            <w:r w:rsidRPr="00B63649">
              <w:rPr>
                <w:rFonts w:eastAsia="Times New Roman" w:cstheme="minorHAnsi"/>
                <w:b w:val="0"/>
                <w:bCs w:val="0"/>
                <w:iCs/>
              </w:rPr>
              <w:t xml:space="preserve"> actuary’s experience and access to over 50 LGPS </w:t>
            </w:r>
            <w:r w:rsidR="00AE3F19">
              <w:rPr>
                <w:rFonts w:eastAsia="Times New Roman" w:cstheme="minorHAnsi"/>
                <w:b w:val="0"/>
                <w:bCs w:val="0"/>
                <w:iCs/>
              </w:rPr>
              <w:t>Fund</w:t>
            </w:r>
            <w:r w:rsidRPr="00B63649">
              <w:rPr>
                <w:rFonts w:eastAsia="Times New Roman" w:cstheme="minorHAnsi"/>
                <w:b w:val="0"/>
                <w:bCs w:val="0"/>
                <w:iCs/>
              </w:rPr>
              <w:t xml:space="preserve">s to identify changes in life expectancy that might affect the longevity assumptions early. </w:t>
            </w:r>
          </w:p>
        </w:tc>
      </w:tr>
      <w:tr w:rsidR="00B63649" w:rsidRPr="00B63649"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As the </w:t>
            </w:r>
            <w:r w:rsidR="00AE3F19">
              <w:rPr>
                <w:rFonts w:eastAsia="Times New Roman" w:cstheme="minorHAnsi"/>
                <w:b w:val="0"/>
                <w:bCs w:val="0"/>
                <w:iCs/>
              </w:rPr>
              <w:t>Fund</w:t>
            </w:r>
            <w:r w:rsidRPr="00B63649">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at each valuation, consider seeking monetary amounts rather than % of pay. </w:t>
            </w:r>
          </w:p>
          <w:p w14:paraId="7DAF55CC"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Consider alternative investment strategies.</w:t>
            </w:r>
          </w:p>
        </w:tc>
      </w:tr>
      <w:tr w:rsidR="00B63649" w:rsidRPr="00B63649"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Charge employers the extra cost of </w:t>
            </w:r>
            <w:r w:rsidR="00C71BBB" w:rsidRPr="00B63649">
              <w:rPr>
                <w:rFonts w:eastAsia="Times New Roman" w:cstheme="minorHAnsi"/>
                <w:b w:val="0"/>
                <w:bCs w:val="0"/>
                <w:iCs/>
              </w:rPr>
              <w:t>non-ill-health</w:t>
            </w:r>
            <w:r w:rsidRPr="00B63649">
              <w:rPr>
                <w:rFonts w:eastAsia="Times New Roman" w:cstheme="minorHAnsi"/>
                <w:b w:val="0"/>
                <w:bCs w:val="0"/>
                <w:iCs/>
              </w:rPr>
              <w:t xml:space="preserve"> retirements following each individual decision.</w:t>
            </w:r>
          </w:p>
          <w:p w14:paraId="184A3090" w14:textId="25FEA942"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The </w:t>
            </w:r>
            <w:r w:rsidR="00AE3F19">
              <w:rPr>
                <w:rFonts w:eastAsia="Times New Roman" w:cstheme="minorHAnsi"/>
                <w:b w:val="0"/>
                <w:bCs w:val="0"/>
                <w:iCs/>
              </w:rPr>
              <w:t>Fund</w:t>
            </w:r>
            <w:r w:rsidRPr="00B63649">
              <w:rPr>
                <w:rFonts w:eastAsia="Times New Roman" w:cstheme="minorHAnsi"/>
                <w:b w:val="0"/>
                <w:bCs w:val="0"/>
                <w:iCs/>
              </w:rPr>
              <w:t xml:space="preserve"> operates cost-sharing to spread ill-heath early retirement strain costs across all active employers.</w:t>
            </w:r>
          </w:p>
        </w:tc>
      </w:tr>
      <w:tr w:rsidR="00B63649" w:rsidRPr="00B63649"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514A2E17" w:rsidR="00B63649" w:rsidRPr="00B63649" w:rsidRDefault="00872DA4" w:rsidP="00B63649">
      <w:pPr>
        <w:pStyle w:val="Heading3"/>
        <w:rPr>
          <w:rFonts w:eastAsia="Times New Roman"/>
        </w:rPr>
      </w:pPr>
      <w:bookmarkStart w:id="81" w:name="_Toc16078834"/>
      <w:bookmarkStart w:id="82" w:name="_Toc86162882"/>
      <w:bookmarkStart w:id="83" w:name="_Toc194482919"/>
      <w:r>
        <w:rPr>
          <w:rFonts w:eastAsia="Times New Roman"/>
        </w:rPr>
        <w:t>D</w:t>
      </w:r>
      <w:r w:rsidR="00B63649" w:rsidRPr="00B63649">
        <w:rPr>
          <w:rFonts w:eastAsia="Times New Roman"/>
        </w:rPr>
        <w:t>4 Regulatory risks</w:t>
      </w:r>
      <w:bookmarkEnd w:id="81"/>
      <w:bookmarkEnd w:id="82"/>
      <w:bookmarkEnd w:id="83"/>
    </w:p>
    <w:tbl>
      <w:tblPr>
        <w:tblStyle w:val="PlainTable2"/>
        <w:tblW w:w="0" w:type="auto"/>
        <w:tblLayout w:type="fixed"/>
        <w:tblLook w:val="01E0" w:firstRow="1" w:lastRow="1" w:firstColumn="1" w:lastColumn="1" w:noHBand="0" w:noVBand="0"/>
      </w:tblPr>
      <w:tblGrid>
        <w:gridCol w:w="4514"/>
        <w:gridCol w:w="5125"/>
      </w:tblGrid>
      <w:tr w:rsidR="00B63649" w:rsidRPr="00B63649"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Changes to national pension requirements or HMRC rules. </w:t>
            </w:r>
          </w:p>
          <w:p w14:paraId="5BF66C2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Consider all Government consultation papers and comment where appropriate. </w:t>
            </w:r>
          </w:p>
          <w:p w14:paraId="0D0CF0CA"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B63649" w:rsidRDefault="00B63649" w:rsidP="00B63649">
            <w:pPr>
              <w:spacing w:before="20" w:after="200" w:line="280" w:lineRule="atLeast"/>
              <w:rPr>
                <w:rFonts w:eastAsia="Times New Roman" w:cstheme="minorHAnsi"/>
                <w:b w:val="0"/>
                <w:bCs w:val="0"/>
                <w:iCs/>
                <w:strike/>
              </w:rPr>
            </w:pPr>
            <w:r w:rsidRPr="00B63649">
              <w:rPr>
                <w:rFonts w:eastAsia="Times New Roman" w:cstheme="minorHAnsi"/>
                <w:b w:val="0"/>
                <w:bCs w:val="0"/>
                <w:iCs/>
              </w:rPr>
              <w:t>Build preferred solutions into valuations as required.</w:t>
            </w:r>
            <w:r w:rsidR="00AE3F19">
              <w:rPr>
                <w:rFonts w:eastAsia="Times New Roman" w:cstheme="minorHAnsi"/>
                <w:b w:val="0"/>
                <w:bCs w:val="0"/>
                <w:iCs/>
              </w:rPr>
              <w:t xml:space="preserve"> </w:t>
            </w:r>
          </w:p>
        </w:tc>
      </w:tr>
      <w:tr w:rsidR="00B63649" w:rsidRPr="00B63649"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26DA60C3"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Time, cost or reputational risks associated with any </w:t>
            </w:r>
            <w:r w:rsidR="00941736">
              <w:rPr>
                <w:rFonts w:eastAsia="Times New Roman" w:cstheme="minorHAnsi"/>
                <w:b w:val="0"/>
                <w:bCs w:val="0"/>
                <w:iCs/>
              </w:rPr>
              <w:t>MHCLG</w:t>
            </w:r>
            <w:r w:rsidR="00941736" w:rsidRPr="00B63649">
              <w:rPr>
                <w:rFonts w:eastAsia="Times New Roman" w:cstheme="minorHAnsi"/>
                <w:b w:val="0"/>
                <w:bCs w:val="0"/>
                <w:iCs/>
              </w:rPr>
              <w:t xml:space="preserve"> </w:t>
            </w:r>
            <w:r w:rsidRPr="00B63649">
              <w:rPr>
                <w:rFonts w:eastAsia="Times New Roman" w:cstheme="minorHAnsi"/>
                <w:b w:val="0"/>
                <w:bCs w:val="0"/>
                <w:iCs/>
              </w:rPr>
              <w:t>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B63649" w:rsidRDefault="00B63649" w:rsidP="00B63649">
            <w:pPr>
              <w:spacing w:before="20" w:after="200" w:line="280" w:lineRule="atLeast"/>
              <w:rPr>
                <w:rFonts w:eastAsia="Times New Roman" w:cstheme="minorHAnsi"/>
                <w:b w:val="0"/>
                <w:bCs w:val="0"/>
                <w:iCs/>
              </w:rPr>
            </w:pPr>
          </w:p>
        </w:tc>
      </w:tr>
    </w:tbl>
    <w:p w14:paraId="253C32C1" w14:textId="77777777" w:rsidR="00083AD7" w:rsidRPr="00083AD7" w:rsidRDefault="00083AD7" w:rsidP="00083AD7"/>
    <w:p w14:paraId="663505E7" w14:textId="2B8BF5A0" w:rsidR="00AA4948" w:rsidRPr="00AA4948" w:rsidRDefault="00872DA4" w:rsidP="00AA4948">
      <w:pPr>
        <w:pStyle w:val="Heading3"/>
        <w:rPr>
          <w:rFonts w:eastAsia="Times New Roman"/>
        </w:rPr>
      </w:pPr>
      <w:bookmarkStart w:id="84" w:name="_Toc194482920"/>
      <w:r>
        <w:rPr>
          <w:rFonts w:eastAsia="Times New Roman"/>
        </w:rPr>
        <w:t>D</w:t>
      </w:r>
      <w:r w:rsidRPr="00AA4948">
        <w:rPr>
          <w:rFonts w:eastAsia="Times New Roman"/>
        </w:rPr>
        <w:t xml:space="preserve">5 </w:t>
      </w:r>
      <w:r w:rsidR="00AA4948" w:rsidRPr="00AA4948">
        <w:rPr>
          <w:rFonts w:eastAsia="Times New Roman"/>
        </w:rPr>
        <w:t>Governance risks</w:t>
      </w:r>
      <w:bookmarkEnd w:id="84"/>
    </w:p>
    <w:tbl>
      <w:tblPr>
        <w:tblStyle w:val="PlainTable2"/>
        <w:tblW w:w="0" w:type="auto"/>
        <w:tblLayout w:type="fixed"/>
        <w:tblLook w:val="01E0" w:firstRow="1" w:lastRow="1" w:firstColumn="1" w:lastColumn="1" w:noHBand="0" w:noVBand="0"/>
      </w:tblPr>
      <w:tblGrid>
        <w:gridCol w:w="4508"/>
        <w:gridCol w:w="5131"/>
      </w:tblGrid>
      <w:tr w:rsidR="00AA4948" w:rsidRPr="00AA4948"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 xml:space="preserve">Control </w:t>
            </w:r>
          </w:p>
        </w:tc>
      </w:tr>
      <w:tr w:rsidR="00AA4948" w:rsidRPr="00AA4948"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0D9FA65E"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is not aware of employer membership changes</w:t>
            </w:r>
            <w:r w:rsidR="00616CEE">
              <w:rPr>
                <w:rFonts w:eastAsia="Times New Roman" w:cstheme="minorHAnsi"/>
                <w:b w:val="0"/>
                <w:bCs w:val="0"/>
                <w:iCs/>
              </w:rPr>
              <w:t>.</w:t>
            </w:r>
            <w:r w:rsidRPr="00AA4948">
              <w:rPr>
                <w:rFonts w:eastAsia="Times New Roman" w:cstheme="minorHAnsi"/>
                <w:b w:val="0"/>
                <w:bCs w:val="0"/>
                <w:iCs/>
              </w:rPr>
              <w:t xml:space="preserve"> </w:t>
            </w:r>
            <w:r w:rsidR="00616CEE">
              <w:rPr>
                <w:rFonts w:eastAsia="Times New Roman" w:cstheme="minorHAnsi"/>
                <w:b w:val="0"/>
                <w:bCs w:val="0"/>
                <w:iCs/>
              </w:rPr>
              <w:t>F</w:t>
            </w:r>
            <w:r w:rsidRPr="00AA4948">
              <w:rPr>
                <w:rFonts w:eastAsia="Times New Roman" w:cstheme="minorHAnsi"/>
                <w:b w:val="0"/>
                <w:bCs w:val="0"/>
                <w:iCs/>
              </w:rPr>
              <w:t xml:space="preserve">or example a large fall in employee members, </w:t>
            </w:r>
            <w:r w:rsidR="00616CEE">
              <w:rPr>
                <w:rFonts w:eastAsia="Times New Roman" w:cstheme="minorHAnsi"/>
                <w:b w:val="0"/>
                <w:bCs w:val="0"/>
                <w:iCs/>
              </w:rPr>
              <w:t xml:space="preserve">a </w:t>
            </w:r>
            <w:r w:rsidRPr="00AA4948">
              <w:rPr>
                <w:rFonts w:eastAsia="Times New Roman" w:cstheme="minorHAnsi"/>
                <w:b w:val="0"/>
                <w:bCs w:val="0"/>
                <w:iCs/>
              </w:rPr>
              <w:t>large number of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51749B4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develops a close relationship with employing bodies and communicates </w:t>
            </w:r>
            <w:r w:rsidR="005D2B67">
              <w:rPr>
                <w:rFonts w:eastAsia="Times New Roman" w:cstheme="minorHAnsi"/>
                <w:b w:val="0"/>
                <w:bCs w:val="0"/>
                <w:iCs/>
              </w:rPr>
              <w:t xml:space="preserve">the </w:t>
            </w:r>
            <w:r w:rsidRPr="00AA4948">
              <w:rPr>
                <w:rFonts w:eastAsia="Times New Roman" w:cstheme="minorHAnsi"/>
                <w:b w:val="0"/>
                <w:bCs w:val="0"/>
                <w:iCs/>
              </w:rPr>
              <w:t>required standards.</w:t>
            </w:r>
            <w:r w:rsidR="00AE3F19">
              <w:rPr>
                <w:rFonts w:eastAsia="Times New Roman" w:cstheme="minorHAnsi"/>
                <w:b w:val="0"/>
                <w:bCs w:val="0"/>
                <w:iCs/>
              </w:rPr>
              <w:t xml:space="preserve"> </w:t>
            </w:r>
          </w:p>
          <w:p w14:paraId="284D4E30"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lastRenderedPageBreak/>
              <w:t>The actuary may revise the rates and adjustments certificate to increase an employer’s contributions between valuations</w:t>
            </w:r>
          </w:p>
          <w:p w14:paraId="38BD511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Deficit contributions may be expressed as monetary amounts.</w:t>
            </w:r>
          </w:p>
        </w:tc>
      </w:tr>
      <w:tr w:rsidR="00AA4948" w:rsidRPr="00AA4948"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lastRenderedPageBreak/>
              <w:t>Actuarial or investment advice is not sought,</w:t>
            </w:r>
            <w:r w:rsidR="00AE3F19">
              <w:rPr>
                <w:rFonts w:eastAsia="Times New Roman" w:cstheme="minorHAnsi"/>
                <w:b w:val="0"/>
                <w:bCs w:val="0"/>
                <w:iCs/>
              </w:rPr>
              <w:t xml:space="preserve"> </w:t>
            </w:r>
            <w:r w:rsidRPr="00AA4948">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maintains close contact with its advisers.</w:t>
            </w:r>
          </w:p>
          <w:p w14:paraId="01BE92F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Advice is delivered through formal meetings and recorded appropriately.</w:t>
            </w:r>
          </w:p>
          <w:p w14:paraId="0718B3F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advice is subject to professional requirements like peer review.</w:t>
            </w:r>
          </w:p>
        </w:tc>
      </w:tr>
      <w:tr w:rsidR="00AA4948" w:rsidRPr="00AA4948"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fails to commission the actuary to carry out a termination valuation for an admission body leaving the </w:t>
            </w:r>
            <w:r w:rsidR="00AE3F19">
              <w:rPr>
                <w:rFonts w:eastAsia="Times New Roman" w:cstheme="minorHAnsi"/>
                <w:b w:val="0"/>
                <w:bCs w:val="0"/>
                <w:iCs/>
              </w:rPr>
              <w:t>Fund</w:t>
            </w:r>
            <w:r w:rsidRPr="00AA4948">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requires employers with Best Value contractors to inform it of changes.</w:t>
            </w:r>
          </w:p>
          <w:p w14:paraId="35D890E7" w14:textId="105B2AF6"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CABs’ memberships are </w:t>
            </w:r>
            <w:r w:rsidR="00C71BBB" w:rsidRPr="00AA4948">
              <w:rPr>
                <w:rFonts w:eastAsia="Times New Roman" w:cstheme="minorHAnsi"/>
                <w:b w:val="0"/>
                <w:bCs w:val="0"/>
                <w:iCs/>
              </w:rPr>
              <w:t>monitored,</w:t>
            </w:r>
            <w:r w:rsidRPr="00AA4948">
              <w:rPr>
                <w:rFonts w:eastAsia="Times New Roman" w:cstheme="minorHAnsi"/>
                <w:b w:val="0"/>
                <w:bCs w:val="0"/>
                <w:iCs/>
              </w:rPr>
              <w:t xml:space="preserve"> and steps are taken if active membership decreases.</w:t>
            </w:r>
          </w:p>
        </w:tc>
      </w:tr>
      <w:tr w:rsidR="00AA4948" w:rsidRPr="00AA4948"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with insufficient </w:t>
            </w:r>
            <w:r w:rsidR="00AE3F19">
              <w:rPr>
                <w:rFonts w:eastAsia="Times New Roman" w:cstheme="minorHAnsi"/>
                <w:b w:val="0"/>
                <w:bCs w:val="0"/>
                <w:iCs/>
              </w:rPr>
              <w:t>Fund</w:t>
            </w:r>
            <w:r w:rsidRPr="00AA4948">
              <w:rPr>
                <w:rFonts w:eastAsia="Times New Roman" w:cstheme="minorHAnsi"/>
                <w:b w:val="0"/>
                <w:bCs w:val="0"/>
                <w:iCs/>
              </w:rPr>
              <w:t xml:space="preserve">ing or bonds. </w:t>
            </w:r>
          </w:p>
          <w:p w14:paraId="4B59F584" w14:textId="77777777" w:rsidR="00AA4948" w:rsidRPr="00AA4948" w:rsidRDefault="00AA4948" w:rsidP="00AA4948">
            <w:pPr>
              <w:spacing w:before="20" w:after="200" w:line="280" w:lineRule="atLeast"/>
              <w:rPr>
                <w:rFonts w:eastAsia="Times New Roman" w:cstheme="minorHAnsi"/>
                <w:b w:val="0"/>
                <w:bCs w:val="0"/>
                <w:iCs/>
              </w:rPr>
            </w:pPr>
          </w:p>
          <w:p w14:paraId="552C9AD9"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Seeking a </w:t>
            </w:r>
            <w:r w:rsidR="00AE3F19">
              <w:rPr>
                <w:rFonts w:eastAsia="Times New Roman" w:cstheme="minorHAnsi"/>
                <w:b w:val="0"/>
                <w:bCs w:val="0"/>
                <w:iCs/>
              </w:rPr>
              <w:t>Fund</w:t>
            </w:r>
            <w:r w:rsidRPr="00AA4948">
              <w:rPr>
                <w:rFonts w:eastAsia="Times New Roman" w:cstheme="minorHAnsi"/>
                <w:b w:val="0"/>
                <w:bCs w:val="0"/>
                <w:iCs/>
              </w:rPr>
              <w:t>ing guarantee from another scheme employer, or external body.</w:t>
            </w:r>
          </w:p>
          <w:p w14:paraId="32F2CC1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Vetting prospective employers before admission.</w:t>
            </w:r>
          </w:p>
          <w:p w14:paraId="35E3CA99" w14:textId="0A71D02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bond to protect the </w:t>
            </w:r>
            <w:r w:rsidR="00AE3F19">
              <w:rPr>
                <w:rFonts w:eastAsia="Times New Roman" w:cstheme="minorHAnsi"/>
                <w:b w:val="0"/>
                <w:bCs w:val="0"/>
                <w:iCs/>
              </w:rPr>
              <w:t>Fund</w:t>
            </w:r>
            <w:r w:rsidRPr="00AA4948">
              <w:rPr>
                <w:rFonts w:eastAsia="Times New Roman" w:cstheme="minorHAnsi"/>
                <w:b w:val="0"/>
                <w:bCs w:val="0"/>
                <w:iCs/>
              </w:rPr>
              <w:t xml:space="preserve">, where permitted. </w:t>
            </w:r>
          </w:p>
          <w:p w14:paraId="7EE0217A"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guarantor for new CABs. </w:t>
            </w:r>
          </w:p>
          <w:p w14:paraId="7771339D"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Regularly reviewing bond or guarantor arrangements. </w:t>
            </w:r>
          </w:p>
          <w:p w14:paraId="4CD5F64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Reviewing contributions well ahead of cessation. </w:t>
            </w:r>
          </w:p>
        </w:tc>
      </w:tr>
      <w:tr w:rsidR="00AA4948" w:rsidRPr="00AA4948"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so an exit credit is payable. </w:t>
            </w:r>
          </w:p>
          <w:p w14:paraId="78A453CB"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regularly monitors admission bodies coming up to cessation. </w:t>
            </w:r>
          </w:p>
          <w:p w14:paraId="633F24C9"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invests in liquid assets so that exit credits can be paid. </w:t>
            </w:r>
          </w:p>
        </w:tc>
      </w:tr>
    </w:tbl>
    <w:p w14:paraId="101F929F" w14:textId="708112F1" w:rsidR="00731903" w:rsidRPr="00731903" w:rsidRDefault="00731903" w:rsidP="00731903">
      <w:r>
        <w:t> </w:t>
      </w:r>
    </w:p>
    <w:p w14:paraId="06ECB602" w14:textId="12339A92" w:rsidR="00AA4948" w:rsidRDefault="00872DA4" w:rsidP="00AA4948">
      <w:pPr>
        <w:pStyle w:val="Heading3"/>
      </w:pPr>
      <w:bookmarkStart w:id="85" w:name="_Toc194482921"/>
      <w:r>
        <w:lastRenderedPageBreak/>
        <w:t>D</w:t>
      </w:r>
      <w:r w:rsidR="00AA4948">
        <w:t>6 Employer covenant assessment and monitoring</w:t>
      </w:r>
      <w:bookmarkEnd w:id="85"/>
      <w:r w:rsidR="00AA4948">
        <w:t xml:space="preserve"> </w:t>
      </w:r>
    </w:p>
    <w:p w14:paraId="420F2A91" w14:textId="04C35EA7" w:rsidR="00AA4948" w:rsidRPr="00BE4B63" w:rsidRDefault="00AA4948" w:rsidP="00AA4948">
      <w:r>
        <w:t xml:space="preserve">Many of the employers participating in the </w:t>
      </w:r>
      <w:r w:rsidR="00AE3F19">
        <w:t>Fund</w:t>
      </w:r>
      <w:r>
        <w:t xml:space="preserve">, such as admitted bodies (including TABs and CABs), have no local tax-raising powers. The </w:t>
      </w:r>
      <w:r w:rsidR="00AE3F19">
        <w:t>Fund</w:t>
      </w:r>
      <w:r>
        <w:t xml:space="preserve"> assesses and monitors the long-term </w:t>
      </w:r>
      <w:r w:rsidRPr="00BE4B63">
        <w:t xml:space="preserve">financial health of these employers to assess an appropriate level of risk for each employer’s </w:t>
      </w:r>
      <w:r w:rsidR="00AE3F19" w:rsidRPr="00BE4B63">
        <w:t>Fund</w:t>
      </w:r>
      <w:r w:rsidRPr="00BE4B63">
        <w:t>ing strategy.</w:t>
      </w:r>
    </w:p>
    <w:p w14:paraId="7D21803B" w14:textId="51516242" w:rsidR="00346D72" w:rsidRPr="00BE4B63" w:rsidRDefault="00346D72" w:rsidP="00AA4948">
      <w:r w:rsidRPr="00A47DA6">
        <w:t>Any change in covenant over the inter-valuation period may lead to a contribution rate review </w:t>
      </w:r>
      <w:r w:rsidRPr="00BE4B63">
        <w:t> </w:t>
      </w:r>
    </w:p>
    <w:p w14:paraId="5AE0CD39" w14:textId="03CA93DC" w:rsidR="00AA4948" w:rsidRDefault="00872DA4" w:rsidP="00AA4948">
      <w:pPr>
        <w:pStyle w:val="Heading3"/>
      </w:pPr>
      <w:bookmarkStart w:id="86" w:name="_Toc194482922"/>
      <w:r>
        <w:t>D</w:t>
      </w:r>
      <w:r w:rsidR="00AA4948">
        <w:t>7 Climate risk and TCFD reporting</w:t>
      </w:r>
      <w:bookmarkEnd w:id="86"/>
    </w:p>
    <w:p w14:paraId="68106C32" w14:textId="77777777" w:rsidR="00852DE8" w:rsidRDefault="00AA4948" w:rsidP="00852DE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The </w:t>
      </w:r>
      <w:r w:rsidR="00AE3F19" w:rsidRPr="00123448">
        <w:rPr>
          <w:rFonts w:asciiTheme="minorHAnsi" w:eastAsiaTheme="minorHAnsi" w:hAnsiTheme="minorHAnsi" w:cstheme="minorBidi"/>
          <w:iCs w:val="0"/>
          <w:color w:val="auto"/>
          <w:sz w:val="22"/>
          <w:szCs w:val="22"/>
        </w:rPr>
        <w:t>Fund</w:t>
      </w:r>
      <w:r w:rsidRPr="00123448">
        <w:rPr>
          <w:rFonts w:asciiTheme="minorHAnsi" w:eastAsiaTheme="minorHAnsi" w:hAnsiTheme="minorHAnsi" w:cstheme="minorBidi"/>
          <w:iCs w:val="0"/>
          <w:color w:val="auto"/>
          <w:sz w:val="22"/>
          <w:szCs w:val="22"/>
        </w:rPr>
        <w:t xml:space="preserve"> has considered climate-related risks when setting the </w:t>
      </w:r>
      <w:r w:rsidR="00AE3F19" w:rsidRPr="00123448">
        <w:rPr>
          <w:rFonts w:asciiTheme="minorHAnsi" w:eastAsiaTheme="minorHAnsi" w:hAnsiTheme="minorHAnsi" w:cstheme="minorBidi"/>
          <w:iCs w:val="0"/>
          <w:color w:val="auto"/>
          <w:sz w:val="22"/>
          <w:szCs w:val="22"/>
        </w:rPr>
        <w:t>Fund</w:t>
      </w:r>
      <w:r w:rsidRPr="00123448">
        <w:rPr>
          <w:rFonts w:asciiTheme="minorHAnsi" w:eastAsiaTheme="minorHAnsi" w:hAnsiTheme="minorHAnsi" w:cstheme="minorBidi"/>
          <w:iCs w:val="0"/>
          <w:color w:val="auto"/>
          <w:sz w:val="22"/>
          <w:szCs w:val="22"/>
        </w:rPr>
        <w:t>ing strategy</w:t>
      </w:r>
      <w:r w:rsidR="005365DC" w:rsidRPr="00123448">
        <w:rPr>
          <w:rFonts w:asciiTheme="minorHAnsi" w:eastAsiaTheme="minorHAnsi" w:hAnsiTheme="minorHAnsi" w:cstheme="minorBidi"/>
          <w:iCs w:val="0"/>
          <w:color w:val="auto"/>
          <w:sz w:val="22"/>
          <w:szCs w:val="22"/>
        </w:rPr>
        <w:t>.</w:t>
      </w:r>
    </w:p>
    <w:p w14:paraId="4DB970E6" w14:textId="40BE1A66" w:rsidR="00EC1339" w:rsidRPr="00123448" w:rsidRDefault="005365DC" w:rsidP="00852DE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To consider the resilience of the strategy the Fund has </w:t>
      </w:r>
      <w:r w:rsidR="00EC1339" w:rsidRPr="00123448">
        <w:rPr>
          <w:rFonts w:asciiTheme="minorHAnsi" w:eastAsiaTheme="minorHAnsi" w:hAnsiTheme="minorHAnsi" w:cstheme="minorBidi"/>
          <w:iCs w:val="0"/>
          <w:color w:val="auto"/>
          <w:sz w:val="22"/>
          <w:szCs w:val="22"/>
        </w:rPr>
        <w:t>carried out climate scenario analysis</w:t>
      </w:r>
      <w:r w:rsidR="00C5410A">
        <w:rPr>
          <w:rFonts w:asciiTheme="minorHAnsi" w:eastAsiaTheme="minorHAnsi" w:hAnsiTheme="minorHAnsi" w:cstheme="minorBidi"/>
          <w:iCs w:val="0"/>
          <w:color w:val="auto"/>
          <w:sz w:val="22"/>
          <w:szCs w:val="22"/>
        </w:rPr>
        <w:t>. This</w:t>
      </w:r>
      <w:r w:rsidR="00EC1339" w:rsidRPr="00123448">
        <w:rPr>
          <w:rFonts w:asciiTheme="minorHAnsi" w:eastAsiaTheme="minorHAnsi" w:hAnsiTheme="minorHAnsi" w:cstheme="minorBidi"/>
          <w:iCs w:val="0"/>
          <w:color w:val="auto"/>
          <w:sz w:val="22"/>
          <w:szCs w:val="22"/>
        </w:rPr>
        <w:t xml:space="preserve"> incorporat</w:t>
      </w:r>
      <w:r w:rsidR="005D2B67">
        <w:rPr>
          <w:rFonts w:asciiTheme="minorHAnsi" w:eastAsiaTheme="minorHAnsi" w:hAnsiTheme="minorHAnsi" w:cstheme="minorBidi"/>
          <w:iCs w:val="0"/>
          <w:color w:val="auto"/>
          <w:sz w:val="22"/>
          <w:szCs w:val="22"/>
        </w:rPr>
        <w:t>es</w:t>
      </w:r>
      <w:r w:rsidR="00EC1339" w:rsidRPr="00123448">
        <w:rPr>
          <w:rFonts w:asciiTheme="minorHAnsi" w:eastAsiaTheme="minorHAnsi" w:hAnsiTheme="minorHAnsi" w:cstheme="minorBidi"/>
          <w:iCs w:val="0"/>
          <w:color w:val="auto"/>
          <w:sz w:val="22"/>
          <w:szCs w:val="22"/>
        </w:rPr>
        <w:t xml:space="preserve"> both stress testing, and narrative-based scenario analysis for the local authority employers at the 2025 valuation. The narrative approach explores the complex and interrelated risks associated with climate change by defining a specific extreme, downside risk (in this instance a food shock) and constructing a narrative around potential policy and market response. This approach allows consideration to be given to the impact of sudden, severe downside risks in the short term, and potential immediate actions. Coupling the narrative approach with stress testing (to better understand the impact of possible climate scenarios) has allowed the Fund to incorporate real world climate scenarios that may occur and indicate the resilience of the Fund under these scenarios.</w:t>
      </w:r>
    </w:p>
    <w:p w14:paraId="5E2D0B35" w14:textId="77777777" w:rsidR="00EC1339" w:rsidRPr="00123448" w:rsidRDefault="00EC1339" w:rsidP="00EC1339">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The results show that:</w:t>
      </w:r>
    </w:p>
    <w:p w14:paraId="0113E06D" w14:textId="77777777" w:rsidR="00EC1339" w:rsidRPr="00123448" w:rsidRDefault="00EC1339" w:rsidP="00EC1339">
      <w:pPr>
        <w:pStyle w:val="BulletHymans"/>
        <w:numPr>
          <w:ilvl w:val="0"/>
          <w:numId w:val="93"/>
        </w:numPr>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When considering climate scenario stress tests, the Fund appears to be generally resilient to different climate scenarios, with generally modest impacts versus the base case modelled</w:t>
      </w:r>
    </w:p>
    <w:p w14:paraId="729565D9" w14:textId="77777777" w:rsidR="00EC1339" w:rsidRPr="00123448" w:rsidRDefault="00EC1339" w:rsidP="00EC1339">
      <w:pPr>
        <w:pStyle w:val="BulletHymans"/>
        <w:numPr>
          <w:ilvl w:val="0"/>
          <w:numId w:val="93"/>
        </w:numPr>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The results of the downside, narrative analysis suggest that the Fund is likely to be resilient in the face of some severe downside risk events (in comparison to the base case), but not all.</w:t>
      </w:r>
    </w:p>
    <w:p w14:paraId="68713522" w14:textId="760651F7" w:rsidR="00EC1339" w:rsidRDefault="00EC1339" w:rsidP="00EC1339">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Climate scenario analysis helps assess risks and tests the resilience of current and long-term strategies under various scenarios. This helps to identify vulnerabilities across both assets and liabilities. Identification of these vulnerabilities can inform risk management processes (see figure 1), helping the Fund ensure appropriate controls and mitigations are in place. Scenario analysis therefore supports informed decision </w:t>
      </w:r>
      <w:r w:rsidR="00370886" w:rsidRPr="00123448">
        <w:rPr>
          <w:rFonts w:asciiTheme="minorHAnsi" w:eastAsiaTheme="minorHAnsi" w:hAnsiTheme="minorHAnsi" w:cstheme="minorBidi"/>
          <w:iCs w:val="0"/>
          <w:color w:val="auto"/>
          <w:sz w:val="22"/>
          <w:szCs w:val="22"/>
        </w:rPr>
        <w:t>making and</w:t>
      </w:r>
      <w:r w:rsidRPr="00123448">
        <w:rPr>
          <w:rFonts w:asciiTheme="minorHAnsi" w:eastAsiaTheme="minorHAnsi" w:hAnsiTheme="minorHAnsi" w:cstheme="minorBidi"/>
          <w:iCs w:val="0"/>
          <w:color w:val="auto"/>
          <w:sz w:val="22"/>
          <w:szCs w:val="22"/>
        </w:rPr>
        <w:t xml:space="preserve"> may be used in future to assist with disclosures prepared in line with Task Force on Climate-Related Financial Disclosures (TCFD) principles.</w:t>
      </w:r>
    </w:p>
    <w:p w14:paraId="7BA5544F" w14:textId="3C93D27D" w:rsidR="00CC74EA" w:rsidRDefault="00CC74EA" w:rsidP="00EC1339">
      <w:pPr>
        <w:pStyle w:val="BodyTextGrey"/>
        <w:rPr>
          <w:rFonts w:asciiTheme="minorHAnsi" w:eastAsiaTheme="minorHAnsi" w:hAnsiTheme="minorHAnsi" w:cstheme="minorBidi"/>
          <w:iCs w:val="0"/>
          <w:color w:val="auto"/>
          <w:sz w:val="22"/>
          <w:szCs w:val="22"/>
        </w:rPr>
      </w:pPr>
      <w:r>
        <w:rPr>
          <w:noProof/>
        </w:rPr>
        <w:drawing>
          <wp:inline distT="0" distB="0" distL="0" distR="0" wp14:anchorId="0DFED73C" wp14:editId="5D9BDA11">
            <wp:extent cx="4514850" cy="3334372"/>
            <wp:effectExtent l="0" t="0" r="0" b="0"/>
            <wp:docPr id="694717702" name="Picture 1" descr="Enhance risk management framework&#10;Climate scenario analysis outputs can support the delivery of the following actions:&#10;shorter- term horizon scanning&#10;capturing varying views and beliefs of stakeholders&#10;modelling output to aid funding strategy and stress test key risks&#10;create and enhance engagement; ask the right questions of managers&#10;identifying risk and opportunity 'themes'&#10;objective setting training, disclosure and regulatory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7702" name="Picture 1" descr="Enhance risk management framework&#10;Climate scenario analysis outputs can support the delivery of the following actions:&#10;shorter- term horizon scanning&#10;capturing varying views and beliefs of stakeholders&#10;modelling output to aid funding strategy and stress test key risks&#10;create and enhance engagement; ask the right questions of managers&#10;identifying risk and opportunity 'themes'&#10;objective setting training, disclosure and regulatory compliance"/>
                    <pic:cNvPicPr/>
                  </pic:nvPicPr>
                  <pic:blipFill>
                    <a:blip r:embed="rId30"/>
                    <a:stretch>
                      <a:fillRect/>
                    </a:stretch>
                  </pic:blipFill>
                  <pic:spPr>
                    <a:xfrm>
                      <a:off x="0" y="0"/>
                      <a:ext cx="4522162" cy="3339772"/>
                    </a:xfrm>
                    <a:prstGeom prst="rect">
                      <a:avLst/>
                    </a:prstGeom>
                  </pic:spPr>
                </pic:pic>
              </a:graphicData>
            </a:graphic>
          </wp:inline>
        </w:drawing>
      </w:r>
    </w:p>
    <w:p w14:paraId="641B548B" w14:textId="0F40493B" w:rsidR="009A2AD8" w:rsidRPr="00123448" w:rsidRDefault="009A2AD8" w:rsidP="009A2AD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lastRenderedPageBreak/>
        <w:t xml:space="preserve">This climate analysis was not applied to the funding strategy modelling for smaller employers. </w:t>
      </w:r>
      <w:r w:rsidR="00C5410A">
        <w:rPr>
          <w:rFonts w:asciiTheme="minorHAnsi" w:eastAsiaTheme="minorHAnsi" w:hAnsiTheme="minorHAnsi" w:cstheme="minorBidi"/>
          <w:iCs w:val="0"/>
          <w:color w:val="auto"/>
          <w:sz w:val="22"/>
          <w:szCs w:val="22"/>
        </w:rPr>
        <w:t>T</w:t>
      </w:r>
      <w:r w:rsidRPr="00123448">
        <w:rPr>
          <w:rFonts w:asciiTheme="minorHAnsi" w:eastAsiaTheme="minorHAnsi" w:hAnsiTheme="minorHAnsi" w:cstheme="minorBidi"/>
          <w:iCs w:val="0"/>
          <w:color w:val="auto"/>
          <w:sz w:val="22"/>
          <w:szCs w:val="22"/>
        </w:rPr>
        <w:t>he same underlying model is used for all employers and the local authority employers make up the vast majority of the fund’s assets and liabilities</w:t>
      </w:r>
      <w:r w:rsidR="00C5410A">
        <w:rPr>
          <w:rFonts w:asciiTheme="minorHAnsi" w:eastAsiaTheme="minorHAnsi" w:hAnsiTheme="minorHAnsi" w:cstheme="minorBidi"/>
          <w:iCs w:val="0"/>
          <w:color w:val="auto"/>
          <w:sz w:val="22"/>
          <w:szCs w:val="22"/>
        </w:rPr>
        <w:t>.</w:t>
      </w:r>
      <w:r w:rsidRPr="00123448">
        <w:rPr>
          <w:rFonts w:asciiTheme="minorHAnsi" w:eastAsiaTheme="minorHAnsi" w:hAnsiTheme="minorHAnsi" w:cstheme="minorBidi"/>
          <w:iCs w:val="0"/>
          <w:color w:val="auto"/>
          <w:sz w:val="22"/>
          <w:szCs w:val="22"/>
        </w:rPr>
        <w:t xml:space="preserve"> </w:t>
      </w:r>
      <w:r w:rsidR="00C5410A">
        <w:rPr>
          <w:rFonts w:asciiTheme="minorHAnsi" w:eastAsiaTheme="minorHAnsi" w:hAnsiTheme="minorHAnsi" w:cstheme="minorBidi"/>
          <w:iCs w:val="0"/>
          <w:color w:val="auto"/>
          <w:sz w:val="22"/>
          <w:szCs w:val="22"/>
        </w:rPr>
        <w:t xml:space="preserve">Therefore, </w:t>
      </w:r>
      <w:r w:rsidRPr="00123448">
        <w:rPr>
          <w:rFonts w:asciiTheme="minorHAnsi" w:eastAsiaTheme="minorHAnsi" w:hAnsiTheme="minorHAnsi" w:cstheme="minorBidi"/>
          <w:iCs w:val="0"/>
          <w:color w:val="auto"/>
          <w:sz w:val="22"/>
          <w:szCs w:val="22"/>
        </w:rPr>
        <w:t>applying the climate analysis to all employers was not deemed proportionate at this stage and would not be expected to result in any changes to the agreed contribution plans.</w:t>
      </w:r>
    </w:p>
    <w:p w14:paraId="29FDB31D" w14:textId="4BF8D59D" w:rsidR="00AA4948" w:rsidRDefault="00AA4948" w:rsidP="00AA4948">
      <w:r w:rsidRPr="00123448">
        <w:t xml:space="preserve">Further changes on how the </w:t>
      </w:r>
      <w:r w:rsidR="00AE3F19" w:rsidRPr="00123448">
        <w:t>Fund</w:t>
      </w:r>
      <w:r w:rsidRPr="00123448">
        <w:t xml:space="preserve"> manages climate risks is set out in the </w:t>
      </w:r>
      <w:r w:rsidR="00AE3F19" w:rsidRPr="00123448">
        <w:t>Fund</w:t>
      </w:r>
      <w:r w:rsidRPr="00123448">
        <w:t xml:space="preserve">’s climate action plan </w:t>
      </w:r>
      <w:hyperlink r:id="rId31" w:history="1">
        <w:r w:rsidRPr="00123448">
          <w:rPr>
            <w:rStyle w:val="Hyperlink"/>
          </w:rPr>
          <w:t>here</w:t>
        </w:r>
      </w:hyperlink>
      <w:r w:rsidRPr="00123448">
        <w:t>.</w:t>
      </w:r>
    </w:p>
    <w:p w14:paraId="2DBAD3BB" w14:textId="241E61F2" w:rsidR="0006091B" w:rsidRPr="009E6647" w:rsidRDefault="0006091B" w:rsidP="001E179F">
      <w:pPr>
        <w:pStyle w:val="Heading3"/>
      </w:pPr>
      <w:r>
        <w:t>D</w:t>
      </w:r>
      <w:r w:rsidR="001E179F">
        <w:t>8</w:t>
      </w:r>
      <w:r w:rsidRPr="009E6647">
        <w:t xml:space="preserve"> </w:t>
      </w:r>
      <w:r>
        <w:t>Gender Pension Gap reporting</w:t>
      </w:r>
    </w:p>
    <w:p w14:paraId="171D1890" w14:textId="77777777" w:rsidR="001E179F" w:rsidRPr="001E179F" w:rsidRDefault="001E179F" w:rsidP="001E179F">
      <w:pPr>
        <w:pStyle w:val="BodyTextGrey"/>
        <w:rPr>
          <w:rFonts w:asciiTheme="minorHAnsi" w:eastAsiaTheme="minorHAnsi" w:hAnsiTheme="minorHAnsi" w:cstheme="minorBidi"/>
          <w:iCs w:val="0"/>
          <w:color w:val="auto"/>
          <w:sz w:val="22"/>
          <w:szCs w:val="22"/>
        </w:rPr>
      </w:pPr>
      <w:r w:rsidRPr="001E179F">
        <w:rPr>
          <w:rFonts w:asciiTheme="minorHAnsi" w:eastAsiaTheme="minorHAnsi" w:hAnsiTheme="minorHAnsi" w:cstheme="minorBidi"/>
          <w:iCs w:val="0"/>
          <w:color w:val="auto"/>
          <w:sz w:val="22"/>
          <w:szCs w:val="22"/>
        </w:rPr>
        <w:t>The government published its consultation “Local Government Pension Scheme in England and Wales: Access and Fairness” in May 2025. One of the proposals as part of this consultation was to include gender pension gap reporting in the 2025 valuation report. Regulation around reporting will be laid down in March 2026 and as such, the Fund has reported on the gender pension gap in the 2025 valuation report (appendix 9).</w:t>
      </w:r>
    </w:p>
    <w:p w14:paraId="52440ED9" w14:textId="77777777" w:rsidR="001E179F" w:rsidRPr="001E179F" w:rsidRDefault="001E179F" w:rsidP="001E179F">
      <w:pPr>
        <w:pStyle w:val="BodyTextGrey"/>
        <w:rPr>
          <w:rFonts w:asciiTheme="minorHAnsi" w:eastAsiaTheme="minorHAnsi" w:hAnsiTheme="minorHAnsi" w:cstheme="minorBidi"/>
          <w:iCs w:val="0"/>
          <w:color w:val="auto"/>
          <w:sz w:val="22"/>
          <w:szCs w:val="22"/>
        </w:rPr>
      </w:pPr>
      <w:r w:rsidRPr="001E179F">
        <w:rPr>
          <w:rFonts w:asciiTheme="minorHAnsi" w:eastAsiaTheme="minorHAnsi" w:hAnsiTheme="minorHAnsi" w:cstheme="minorBidi"/>
          <w:iCs w:val="0"/>
          <w:color w:val="auto"/>
          <w:sz w:val="22"/>
          <w:szCs w:val="22"/>
        </w:rPr>
        <w:t>Reporting has been included for active members, pensioner members and by employer using the local government pension scheme funds account return (SF3) categorisation.</w:t>
      </w:r>
    </w:p>
    <w:p w14:paraId="6518B281" w14:textId="339B8265" w:rsidR="0006091B" w:rsidRDefault="001E179F" w:rsidP="00AA4948">
      <w:r>
        <w:t>v</w:t>
      </w:r>
    </w:p>
    <w:p w14:paraId="09AE4837" w14:textId="7E152DD5" w:rsidR="004E431B" w:rsidRDefault="004E431B">
      <w:r>
        <w:br w:type="page"/>
      </w:r>
    </w:p>
    <w:p w14:paraId="32778F10" w14:textId="021E8B3A" w:rsidR="004E431B" w:rsidRDefault="004E431B" w:rsidP="004E431B">
      <w:pPr>
        <w:pStyle w:val="Heading2"/>
      </w:pPr>
      <w:bookmarkStart w:id="87" w:name="_Appendix_D_–"/>
      <w:bookmarkStart w:id="88" w:name="_Toc194482923"/>
      <w:bookmarkEnd w:id="87"/>
      <w:r>
        <w:lastRenderedPageBreak/>
        <w:t xml:space="preserve">Appendix </w:t>
      </w:r>
      <w:r w:rsidR="00814DF2">
        <w:t>E</w:t>
      </w:r>
      <w:r>
        <w:t xml:space="preserve"> – Actuarial assumptions</w:t>
      </w:r>
      <w:bookmarkEnd w:id="88"/>
      <w:r w:rsidR="00AE3F19">
        <w:t xml:space="preserve"> </w:t>
      </w:r>
    </w:p>
    <w:p w14:paraId="550A91D7" w14:textId="77777777" w:rsidR="00445683" w:rsidRDefault="00445683" w:rsidP="00123448">
      <w:r>
        <w:t xml:space="preserve">The key outputs from an employer’s funding valuation are its contribution rate requirement (see Section 2 for further details) and its funding level (see Section 4). For both calculations the fund actuary requires actuarial assumptions. </w:t>
      </w:r>
    </w:p>
    <w:p w14:paraId="1189C3D1" w14:textId="77777777" w:rsidR="00445683" w:rsidRDefault="00445683" w:rsidP="00123448">
      <w:r>
        <w:t>The fund typically reviews and sets the actuarial assumptions used for funding purposes as part of the triennial valuation. Those assumptions are then used until the next triennial valuation (updated for current market conditions where appropriate).</w:t>
      </w:r>
    </w:p>
    <w:p w14:paraId="793F8D50" w14:textId="142286B2" w:rsidR="00445683" w:rsidRDefault="00445683" w:rsidP="004E431B">
      <w:r>
        <w:t xml:space="preserve">The fund has reviewed the actuarial assumptions used for funding purposes as part of the 2025 valuation. These are set out below.  </w:t>
      </w:r>
    </w:p>
    <w:p w14:paraId="45B0428B" w14:textId="099E0F16" w:rsidR="004E431B" w:rsidRDefault="00A70486" w:rsidP="004E431B">
      <w:pPr>
        <w:pStyle w:val="Heading3"/>
      </w:pPr>
      <w:bookmarkStart w:id="89" w:name="_Toc194482924"/>
      <w:r>
        <w:t>E</w:t>
      </w:r>
      <w:r w:rsidR="004E431B">
        <w:t xml:space="preserve">1 What are </w:t>
      </w:r>
      <w:r w:rsidR="009F6159">
        <w:t xml:space="preserve">actuarial </w:t>
      </w:r>
      <w:r w:rsidR="004E431B">
        <w:t>assumptions?</w:t>
      </w:r>
      <w:bookmarkEnd w:id="89"/>
      <w:r w:rsidR="004E431B">
        <w:t xml:space="preserve"> </w:t>
      </w:r>
    </w:p>
    <w:p w14:paraId="73814774" w14:textId="79851189" w:rsidR="009F6159" w:rsidRDefault="009F6159" w:rsidP="004E431B">
      <w:r>
        <w:t>Actuarial a</w:t>
      </w:r>
      <w:r w:rsidR="004E431B">
        <w:t xml:space="preserve">ssumptions are </w:t>
      </w:r>
      <w:r>
        <w:t>required to value the Fund’s liabilities because:</w:t>
      </w:r>
    </w:p>
    <w:p w14:paraId="487B5DB3" w14:textId="30EDDA15" w:rsidR="00BB0E64" w:rsidRDefault="00BB0E64" w:rsidP="00123448">
      <w:pPr>
        <w:pStyle w:val="ListParagraph"/>
        <w:numPr>
          <w:ilvl w:val="0"/>
          <w:numId w:val="95"/>
        </w:numPr>
      </w:pPr>
      <w:r>
        <w:t>There is uncertainty regarding both the timing and amount of the future benefit payments (the actual cost can’t be known until the final payment is made). Therefore</w:t>
      </w:r>
      <w:r w:rsidR="00123448">
        <w:t>,</w:t>
      </w:r>
      <w:r>
        <w:t xml:space="preserve"> to estimate the cost of benefits earned to date and in the future, assumptions need to be made about the timing and amount of these future benefit payments</w:t>
      </w:r>
      <w:r w:rsidR="000E2DA1">
        <w:t>.</w:t>
      </w:r>
    </w:p>
    <w:p w14:paraId="3FC66695" w14:textId="6AF235B0" w:rsidR="00BB0E64" w:rsidRDefault="00BB0E64" w:rsidP="00123448">
      <w:pPr>
        <w:pStyle w:val="ListParagraph"/>
        <w:numPr>
          <w:ilvl w:val="0"/>
          <w:numId w:val="95"/>
        </w:numPr>
      </w:pPr>
      <w:r>
        <w:t>The assets allowed to an employer today are a known figure. However, the future investment return earned on those assets and future cashflows into the fund are uncertain. An assumption is needed about what those future investment returns will be</w:t>
      </w:r>
      <w:r w:rsidR="000E2DA1">
        <w:t>.</w:t>
      </w:r>
    </w:p>
    <w:p w14:paraId="4339295A" w14:textId="77777777" w:rsidR="00935D50" w:rsidRPr="009025E6" w:rsidRDefault="009F6159" w:rsidP="001E179F">
      <w:pPr>
        <w:rPr>
          <w:b/>
          <w:bCs/>
        </w:rPr>
      </w:pPr>
      <w:r>
        <w:t>There are two types of actuarial assumptions that are needed to perform an actuarial valuation</w:t>
      </w:r>
      <w:r w:rsidR="0048065C">
        <w:t xml:space="preserve">: </w:t>
      </w:r>
    </w:p>
    <w:p w14:paraId="13FEE6ED" w14:textId="77777777" w:rsidR="00935D50" w:rsidRPr="00935D50" w:rsidRDefault="00935D50" w:rsidP="00935D50">
      <w:pPr>
        <w:pStyle w:val="ListParagraph"/>
        <w:numPr>
          <w:ilvl w:val="0"/>
          <w:numId w:val="95"/>
        </w:numPr>
      </w:pPr>
      <w:r w:rsidRPr="00935D50">
        <w:rPr>
          <w:b/>
          <w:bCs/>
        </w:rPr>
        <w:t>Financial assumptions</w:t>
      </w:r>
      <w:r w:rsidRPr="00935D50">
        <w:t xml:space="preserve"> determine the expected amount of future benefit payments and the expected investment return on the assets held to meet those benefits. </w:t>
      </w:r>
    </w:p>
    <w:p w14:paraId="34EDC7E6" w14:textId="77777777" w:rsidR="00935D50" w:rsidRPr="00935D50" w:rsidRDefault="00935D50" w:rsidP="00935D50">
      <w:pPr>
        <w:numPr>
          <w:ilvl w:val="0"/>
          <w:numId w:val="95"/>
        </w:numPr>
        <w:contextualSpacing/>
      </w:pPr>
      <w:r w:rsidRPr="00935D50">
        <w:rPr>
          <w:b/>
          <w:bCs/>
        </w:rPr>
        <w:t>Demographic assumptions</w:t>
      </w:r>
      <w:r w:rsidRPr="00935D50">
        <w:t xml:space="preserve"> relate primarily to the expected timing of future benefit payments (i.e. when made and for how long). </w:t>
      </w:r>
    </w:p>
    <w:p w14:paraId="15F59E39" w14:textId="4C56B637" w:rsidR="004E431B" w:rsidRDefault="004E431B" w:rsidP="004E431B"/>
    <w:p w14:paraId="6B6DC3D0" w14:textId="52A9BFD7" w:rsidR="00975D83" w:rsidRDefault="00975D83" w:rsidP="00123448">
      <w:r>
        <w:t xml:space="preserve">All actuarial assumptions are set as best estimates of future experience </w:t>
      </w:r>
      <w:r w:rsidR="00C40E0C">
        <w:t>except for</w:t>
      </w:r>
      <w:r>
        <w:t xml:space="preserve"> the discount rate assumption which is deliberately prudent to meet the </w:t>
      </w:r>
      <w:r w:rsidR="00C40E0C">
        <w:t xml:space="preserve">legal </w:t>
      </w:r>
      <w:r>
        <w:t xml:space="preserve">requirement for a ‘prudent’ valuation. </w:t>
      </w:r>
    </w:p>
    <w:p w14:paraId="6CFDEA90" w14:textId="77777777" w:rsidR="00975D83" w:rsidRDefault="00975D83" w:rsidP="00975D83">
      <w:r>
        <w:t>Any change in the assumptions will affect the value that is placed on future benefit payments (‘liabilities’), but different assumptions don’t affect the actual benefits the fund will pay in future.</w:t>
      </w:r>
    </w:p>
    <w:p w14:paraId="565BBAE9" w14:textId="77777777" w:rsidR="008B71AA" w:rsidRPr="00123448" w:rsidRDefault="008B71AA" w:rsidP="00123448">
      <w:pPr>
        <w:pStyle w:val="BodyTextGrey"/>
        <w:spacing w:before="240" w:after="0"/>
        <w:rPr>
          <w:rFonts w:ascii="Calibri" w:eastAsiaTheme="majorEastAsia" w:hAnsi="Calibri" w:cstheme="majorBidi"/>
          <w:b/>
          <w:iCs w:val="0"/>
          <w:color w:val="auto"/>
          <w:sz w:val="24"/>
          <w:szCs w:val="24"/>
        </w:rPr>
      </w:pPr>
      <w:r w:rsidRPr="00123448">
        <w:rPr>
          <w:rFonts w:ascii="Calibri" w:eastAsiaTheme="majorEastAsia" w:hAnsi="Calibri" w:cstheme="majorBidi"/>
          <w:b/>
          <w:iCs w:val="0"/>
          <w:color w:val="auto"/>
          <w:sz w:val="24"/>
          <w:szCs w:val="24"/>
        </w:rPr>
        <w:t>E2 What funding bases are operated by the Fund?</w:t>
      </w:r>
    </w:p>
    <w:p w14:paraId="181E5463" w14:textId="63F04A23" w:rsidR="008B71AA" w:rsidRDefault="008B71AA" w:rsidP="00123448">
      <w:r>
        <w:t xml:space="preserve">A </w:t>
      </w:r>
      <w:r w:rsidRPr="008B71AA">
        <w:rPr>
          <w:i/>
          <w:iCs/>
        </w:rPr>
        <w:t>funding basis</w:t>
      </w:r>
      <w:r w:rsidRPr="006D2576">
        <w:t xml:space="preserve"> is the set</w:t>
      </w:r>
      <w:r>
        <w:t xml:space="preserve"> of actuarial assumptions used to value an employer’s (past and future service) liabilities. </w:t>
      </w:r>
      <w:r w:rsidRPr="008E448F">
        <w:t xml:space="preserve">The fund operates two funding bases for funding valuations: the </w:t>
      </w:r>
      <w:r w:rsidRPr="008E448F">
        <w:rPr>
          <w:i/>
          <w:iCs/>
        </w:rPr>
        <w:t>ongoing participation basis</w:t>
      </w:r>
      <w:r w:rsidRPr="008E448F">
        <w:t xml:space="preserve"> and the </w:t>
      </w:r>
      <w:r w:rsidR="00B66D65" w:rsidRPr="008E448F">
        <w:rPr>
          <w:i/>
          <w:iCs/>
        </w:rPr>
        <w:t>low risk</w:t>
      </w:r>
      <w:r w:rsidRPr="008E448F">
        <w:rPr>
          <w:i/>
          <w:iCs/>
        </w:rPr>
        <w:t xml:space="preserve"> exit</w:t>
      </w:r>
      <w:r w:rsidRPr="00123448">
        <w:t xml:space="preserve"> basis</w:t>
      </w:r>
      <w:r w:rsidRPr="008E448F">
        <w:t>.</w:t>
      </w:r>
      <w:r>
        <w:t xml:space="preserve"> All actuarial assumptions are the same for both funding bases </w:t>
      </w:r>
      <w:r w:rsidR="00061077">
        <w:t>except for</w:t>
      </w:r>
      <w:r>
        <w:t xml:space="preserve"> the discount rate – see further details below. </w:t>
      </w:r>
    </w:p>
    <w:p w14:paraId="392069E8" w14:textId="38CF7A60" w:rsidR="004E431B" w:rsidRDefault="00A70486" w:rsidP="00CB1FA7">
      <w:pPr>
        <w:pStyle w:val="Heading3"/>
      </w:pPr>
      <w:bookmarkStart w:id="90" w:name="_Toc194482925"/>
      <w:r>
        <w:t>E</w:t>
      </w:r>
      <w:r w:rsidR="00FD0F77">
        <w:t>3</w:t>
      </w:r>
      <w:r w:rsidR="004E431B">
        <w:t xml:space="preserve"> What </w:t>
      </w:r>
      <w:r w:rsidR="00FD0F77">
        <w:t xml:space="preserve">financial </w:t>
      </w:r>
      <w:r w:rsidR="004E431B">
        <w:t xml:space="preserve">assumptions are used </w:t>
      </w:r>
      <w:r w:rsidR="00FD0F77">
        <w:t>by the Fund</w:t>
      </w:r>
      <w:r w:rsidR="00941736">
        <w:t>?</w:t>
      </w:r>
      <w:bookmarkEnd w:id="90"/>
    </w:p>
    <w:p w14:paraId="2A6670A9" w14:textId="11ED1470" w:rsidR="0017796D" w:rsidRDefault="0017796D" w:rsidP="00123448">
      <w:pPr>
        <w:pStyle w:val="Heading4"/>
        <w:spacing w:before="240" w:after="0"/>
      </w:pPr>
      <w:r>
        <w:t>Discount rate</w:t>
      </w:r>
    </w:p>
    <w:p w14:paraId="53095595" w14:textId="77777777" w:rsidR="00043BF6" w:rsidRPr="00123448" w:rsidRDefault="00043BF6" w:rsidP="00123448">
      <w:pPr>
        <w:rPr>
          <w:b/>
        </w:rPr>
      </w:pPr>
      <w:r w:rsidRPr="00123448">
        <w:t xml:space="preserve">The discount rate assumption is the average annual rate of future investment return assumed to be earned on an employer’s assets from a given valuation date. </w:t>
      </w:r>
    </w:p>
    <w:p w14:paraId="28251E7B" w14:textId="4278C9E1" w:rsidR="00043BF6" w:rsidRDefault="00043BF6" w:rsidP="00123448">
      <w:r>
        <w:t>The fund uses a risk-based approach to setting the discount rate which allows for prevailing market conditions on the valuation date (see ‘Further detail on the calculation of financial assumptions’</w:t>
      </w:r>
      <w:r w:rsidR="008E448F">
        <w:t xml:space="preserve"> in E4 below</w:t>
      </w:r>
      <w:r>
        <w:t xml:space="preserve">) and </w:t>
      </w:r>
      <w:r w:rsidR="00771E0B">
        <w:t xml:space="preserve">expected future investment returns based on </w:t>
      </w:r>
      <w:r>
        <w:t xml:space="preserve">the Fund’s investment strategy. </w:t>
      </w:r>
    </w:p>
    <w:p w14:paraId="330F16FF" w14:textId="77777777" w:rsidR="00043BF6" w:rsidRPr="00784FCA" w:rsidRDefault="00043BF6" w:rsidP="00123448">
      <w:r>
        <w:t>T</w:t>
      </w:r>
      <w:r w:rsidRPr="00784FCA">
        <w:t xml:space="preserve">he discount rate is determined by the </w:t>
      </w:r>
      <w:r w:rsidRPr="00123448">
        <w:t>prudence level</w:t>
      </w:r>
      <w:r w:rsidRPr="00784FCA">
        <w:t>. Specificall</w:t>
      </w:r>
      <w:r w:rsidRPr="00E01971">
        <w:t>y</w:t>
      </w:r>
      <w:r>
        <w:t>, the discount rate is calculated to be:</w:t>
      </w:r>
    </w:p>
    <w:p w14:paraId="64F204F5" w14:textId="0A96770A" w:rsidR="00043BF6" w:rsidRPr="00123448" w:rsidRDefault="00043BF6" w:rsidP="00123448">
      <w:r w:rsidRPr="00123448">
        <w:lastRenderedPageBreak/>
        <w:t xml:space="preserve">The average </w:t>
      </w:r>
      <w:r w:rsidR="009505F1" w:rsidRPr="009505F1">
        <w:t>annual</w:t>
      </w:r>
      <w:r w:rsidR="009505F1">
        <w:t>ised</w:t>
      </w:r>
      <w:r w:rsidRPr="00123448">
        <w:t xml:space="preserve"> level of future investment return that can be achieved on the Fund’s assets over a </w:t>
      </w:r>
      <w:r w:rsidR="003301EA" w:rsidRPr="00123448">
        <w:t>20-year</w:t>
      </w:r>
      <w:r w:rsidRPr="00123448">
        <w:t xml:space="preserve"> period with a x% likelihood. </w:t>
      </w:r>
    </w:p>
    <w:p w14:paraId="33B5206B" w14:textId="77777777" w:rsidR="00043BF6" w:rsidRDefault="00043BF6" w:rsidP="00043BF6">
      <w:r w:rsidRPr="00784FCA">
        <w:t xml:space="preserve">The prudence level is the likelihood. </w:t>
      </w:r>
      <w:r>
        <w:t>The prudence levels used by the fund are as follows:</w:t>
      </w:r>
    </w:p>
    <w:tbl>
      <w:tblPr>
        <w:tblStyle w:val="TableGrid"/>
        <w:tblW w:w="0" w:type="auto"/>
        <w:tblLook w:val="04A0" w:firstRow="1" w:lastRow="0" w:firstColumn="1" w:lastColumn="0" w:noHBand="0" w:noVBand="1"/>
      </w:tblPr>
      <w:tblGrid>
        <w:gridCol w:w="4672"/>
        <w:gridCol w:w="4650"/>
      </w:tblGrid>
      <w:tr w:rsidR="00717F35" w:rsidRPr="00717F35" w14:paraId="1A7499CC" w14:textId="77777777" w:rsidTr="00717F35">
        <w:tc>
          <w:tcPr>
            <w:tcW w:w="4672" w:type="dxa"/>
          </w:tcPr>
          <w:p w14:paraId="3FDCE0F2" w14:textId="77777777" w:rsidR="00717F35" w:rsidRPr="00123448" w:rsidRDefault="00717F35" w:rsidP="001E179F">
            <w:pPr>
              <w:pStyle w:val="BodyTextGrey"/>
              <w:spacing w:before="0" w:after="0"/>
              <w:rPr>
                <w:b/>
                <w:bCs/>
                <w:color w:val="auto"/>
              </w:rPr>
            </w:pPr>
            <w:r w:rsidRPr="00123448">
              <w:rPr>
                <w:b/>
                <w:bCs/>
                <w:color w:val="auto"/>
              </w:rPr>
              <w:t>Funding basis</w:t>
            </w:r>
          </w:p>
        </w:tc>
        <w:tc>
          <w:tcPr>
            <w:tcW w:w="4650" w:type="dxa"/>
          </w:tcPr>
          <w:p w14:paraId="17AE72BE" w14:textId="77777777" w:rsidR="00717F35" w:rsidRPr="00123448" w:rsidRDefault="00717F35" w:rsidP="001E179F">
            <w:pPr>
              <w:pStyle w:val="BodyTextGrey"/>
              <w:spacing w:before="0" w:after="0"/>
              <w:rPr>
                <w:b/>
                <w:bCs/>
                <w:color w:val="auto"/>
              </w:rPr>
            </w:pPr>
            <w:r w:rsidRPr="00123448">
              <w:rPr>
                <w:b/>
                <w:bCs/>
                <w:color w:val="auto"/>
              </w:rPr>
              <w:t>Prudence level</w:t>
            </w:r>
          </w:p>
        </w:tc>
      </w:tr>
      <w:tr w:rsidR="00717F35" w:rsidRPr="00717F35" w14:paraId="0CA5F506" w14:textId="77777777" w:rsidTr="00717F35">
        <w:tc>
          <w:tcPr>
            <w:tcW w:w="4672" w:type="dxa"/>
          </w:tcPr>
          <w:p w14:paraId="063CF87C" w14:textId="77777777" w:rsidR="00717F35" w:rsidRPr="00123448" w:rsidRDefault="00717F35" w:rsidP="001E179F">
            <w:pPr>
              <w:pStyle w:val="BodyTextGrey"/>
              <w:spacing w:before="0" w:after="0"/>
              <w:rPr>
                <w:color w:val="auto"/>
              </w:rPr>
            </w:pPr>
            <w:r w:rsidRPr="00123448">
              <w:rPr>
                <w:color w:val="auto"/>
              </w:rPr>
              <w:t>Ongoing participation</w:t>
            </w:r>
          </w:p>
        </w:tc>
        <w:tc>
          <w:tcPr>
            <w:tcW w:w="4650" w:type="dxa"/>
          </w:tcPr>
          <w:p w14:paraId="6C156A90" w14:textId="581DA78D" w:rsidR="00717F35" w:rsidRPr="00123448" w:rsidRDefault="00717F35" w:rsidP="001E179F">
            <w:pPr>
              <w:pStyle w:val="BodyTextGrey"/>
              <w:spacing w:before="0" w:after="0"/>
              <w:rPr>
                <w:color w:val="auto"/>
              </w:rPr>
            </w:pPr>
            <w:r w:rsidRPr="00123448">
              <w:rPr>
                <w:color w:val="auto"/>
              </w:rPr>
              <w:t>80%</w:t>
            </w:r>
          </w:p>
        </w:tc>
      </w:tr>
      <w:tr w:rsidR="00717F35" w:rsidRPr="00717F35" w14:paraId="72D0EA07" w14:textId="77777777" w:rsidTr="00717F35">
        <w:tc>
          <w:tcPr>
            <w:tcW w:w="4672" w:type="dxa"/>
          </w:tcPr>
          <w:p w14:paraId="55B5B16F" w14:textId="77777777" w:rsidR="00717F35" w:rsidRPr="00123448" w:rsidRDefault="00717F35" w:rsidP="001E179F">
            <w:pPr>
              <w:pStyle w:val="BodyTextGrey"/>
              <w:spacing w:before="0" w:after="0"/>
              <w:rPr>
                <w:color w:val="auto"/>
              </w:rPr>
            </w:pPr>
            <w:r w:rsidRPr="00123448">
              <w:rPr>
                <w:color w:val="auto"/>
              </w:rPr>
              <w:t>Low-risk exit</w:t>
            </w:r>
          </w:p>
        </w:tc>
        <w:tc>
          <w:tcPr>
            <w:tcW w:w="4650" w:type="dxa"/>
          </w:tcPr>
          <w:p w14:paraId="26A3BE86" w14:textId="5E9AF07F" w:rsidR="00717F35" w:rsidRPr="00123448" w:rsidRDefault="008A35CC" w:rsidP="001E179F">
            <w:pPr>
              <w:pStyle w:val="BodyTextGrey"/>
              <w:spacing w:before="0" w:after="0"/>
              <w:rPr>
                <w:color w:val="auto"/>
              </w:rPr>
            </w:pPr>
            <w:r>
              <w:rPr>
                <w:color w:val="auto"/>
              </w:rPr>
              <w:t>90</w:t>
            </w:r>
            <w:r w:rsidR="00717F35" w:rsidRPr="00123448">
              <w:rPr>
                <w:color w:val="auto"/>
              </w:rPr>
              <w:t>% (</w:t>
            </w:r>
            <w:r>
              <w:rPr>
                <w:color w:val="auto"/>
              </w:rPr>
              <w:t xml:space="preserve">mid point of the cessation </w:t>
            </w:r>
            <w:r w:rsidR="00717F35" w:rsidRPr="00123448">
              <w:rPr>
                <w:color w:val="auto"/>
              </w:rPr>
              <w:t xml:space="preserve">corridor) </w:t>
            </w:r>
          </w:p>
        </w:tc>
      </w:tr>
    </w:tbl>
    <w:p w14:paraId="7E36075B" w14:textId="49617D05" w:rsidR="00D26A39" w:rsidRPr="00123448" w:rsidRDefault="00D26A39" w:rsidP="00123448">
      <w:pPr>
        <w:spacing w:before="240" w:after="120"/>
        <w:rPr>
          <w:b/>
        </w:rPr>
      </w:pPr>
      <w:r w:rsidRPr="00123448">
        <w:rPr>
          <w:b/>
          <w:bCs/>
          <w:iCs/>
          <w:color w:val="61207F"/>
        </w:rPr>
        <w:t>CPI inflation</w:t>
      </w:r>
      <w:r w:rsidRPr="00123448">
        <w:rPr>
          <w:b/>
          <w:iCs/>
        </w:rPr>
        <w:br/>
      </w:r>
      <w:r w:rsidRPr="00123448">
        <w:t>The CPI inflation assumption is the average annual rate of future Consumer Price Index (CPI) inflation assumed to be observed from a given valuation date. This assumption is required because LGPS benefit increases and revaluation of CARE benefits are in line with CPI.</w:t>
      </w:r>
    </w:p>
    <w:p w14:paraId="79C52AE3" w14:textId="77777777" w:rsidR="00D26A39" w:rsidRPr="00083051" w:rsidRDefault="00D26A39" w:rsidP="00123448">
      <w:r w:rsidRPr="00083051">
        <w:t>The fund uses a risk-based approach to setting the CPI inflation assumption which allows for prevailing market conditions on the valuation date (see ‘Further detail on the calculation of financial assumptions’).</w:t>
      </w:r>
    </w:p>
    <w:p w14:paraId="5CB17E94" w14:textId="3C06001C" w:rsidR="006740DC" w:rsidRDefault="00D26A39" w:rsidP="00123448">
      <w:pPr>
        <w:rPr>
          <w:i/>
          <w:iCs/>
        </w:rPr>
      </w:pPr>
      <w:r w:rsidRPr="00083051">
        <w:t>The CPI inflation assumption is calculated to be:</w:t>
      </w:r>
    </w:p>
    <w:p w14:paraId="756F7936" w14:textId="4D3EFD1A" w:rsidR="00D26A39" w:rsidRPr="00083051" w:rsidRDefault="00D26A39" w:rsidP="00123448">
      <w:pPr>
        <w:rPr>
          <w:i/>
        </w:rPr>
      </w:pPr>
      <w:r w:rsidRPr="00083051">
        <w:rPr>
          <w:i/>
          <w:iCs/>
        </w:rPr>
        <w:t>The average annual</w:t>
      </w:r>
      <w:r w:rsidR="008E448F">
        <w:rPr>
          <w:i/>
          <w:iCs/>
        </w:rPr>
        <w:t>ised</w:t>
      </w:r>
      <w:r w:rsidRPr="00083051">
        <w:rPr>
          <w:i/>
          <w:iCs/>
        </w:rPr>
        <w:t xml:space="preserve"> level of future CPI inflation that will be observed over a </w:t>
      </w:r>
      <w:r w:rsidR="003301EA" w:rsidRPr="00083051">
        <w:rPr>
          <w:i/>
          <w:iCs/>
        </w:rPr>
        <w:t>20-year</w:t>
      </w:r>
      <w:r w:rsidRPr="00083051">
        <w:rPr>
          <w:i/>
          <w:iCs/>
        </w:rPr>
        <w:t xml:space="preserve"> period with a 50% likelihood</w:t>
      </w:r>
      <w:r w:rsidR="0016361C">
        <w:rPr>
          <w:i/>
          <w:iCs/>
        </w:rPr>
        <w:t>.</w:t>
      </w:r>
    </w:p>
    <w:p w14:paraId="508A1570" w14:textId="77777777" w:rsidR="00D26A39" w:rsidRPr="00123448" w:rsidRDefault="00D26A39" w:rsidP="00D26A39">
      <w:pPr>
        <w:pStyle w:val="Appendix3"/>
        <w:rPr>
          <w:rFonts w:asciiTheme="minorHAnsi" w:eastAsiaTheme="minorHAnsi" w:hAnsiTheme="minorHAnsi" w:cstheme="minorBidi"/>
          <w:b w:val="0"/>
          <w:iCs w:val="0"/>
          <w:color w:val="auto"/>
          <w:sz w:val="22"/>
          <w:szCs w:val="22"/>
        </w:rPr>
      </w:pPr>
      <w:r w:rsidRPr="00123448">
        <w:rPr>
          <w:rFonts w:asciiTheme="minorHAnsi" w:eastAsiaTheme="minorHAnsi" w:hAnsiTheme="minorHAnsi" w:cstheme="minorBidi"/>
          <w:bCs/>
          <w:iCs w:val="0"/>
          <w:color w:val="61207F"/>
          <w:sz w:val="22"/>
          <w:szCs w:val="22"/>
        </w:rPr>
        <w:t>Salary growth</w:t>
      </w:r>
      <w:r w:rsidRPr="00123448">
        <w:rPr>
          <w:rFonts w:asciiTheme="minorHAnsi" w:eastAsiaTheme="minorHAnsi" w:hAnsiTheme="minorHAnsi" w:cstheme="minorBidi"/>
          <w:b w:val="0"/>
          <w:iCs w:val="0"/>
          <w:color w:val="auto"/>
          <w:sz w:val="22"/>
          <w:szCs w:val="22"/>
        </w:rPr>
        <w:br/>
        <w:t xml:space="preserve">The salary growth assumption is linked to the CPI inflation assumption via a fixed margin. The salary increases assumption is 0.5% above the CPI inflation assumption plus a promotional salary scale. </w:t>
      </w:r>
    </w:p>
    <w:p w14:paraId="5E8EDEFC" w14:textId="0475BB58" w:rsidR="008E5225" w:rsidRDefault="008E5225" w:rsidP="008E5225">
      <w:pPr>
        <w:pStyle w:val="Heading3"/>
      </w:pPr>
      <w:r>
        <w:t xml:space="preserve">E4 Further detail on the calculation of financial assumptions  </w:t>
      </w:r>
    </w:p>
    <w:p w14:paraId="029F8220" w14:textId="04809A80" w:rsidR="009942DD" w:rsidRDefault="009942DD" w:rsidP="00123448">
      <w:r w:rsidRPr="006D371F">
        <w:t xml:space="preserve">The discount rate and CPI inflation assumptions are calculated using a risk-based method. </w:t>
      </w:r>
      <w:r w:rsidR="00A95E76">
        <w:t>T</w:t>
      </w:r>
      <w:r w:rsidRPr="006D371F">
        <w:t xml:space="preserve">he fund actuary uses Hymans Robertson’s propriety economic </w:t>
      </w:r>
      <w:r>
        <w:t>scenario generator</w:t>
      </w:r>
      <w:r w:rsidRPr="006D371F">
        <w:t xml:space="preserve">; the </w:t>
      </w:r>
      <w:r w:rsidRPr="00123448">
        <w:t>Economic Scenario Service</w:t>
      </w:r>
      <w:r w:rsidRPr="006D371F">
        <w:t xml:space="preserve"> (or </w:t>
      </w:r>
      <w:r w:rsidRPr="00123448">
        <w:t>ESS</w:t>
      </w:r>
      <w:r w:rsidRPr="006D371F">
        <w:t>).</w:t>
      </w:r>
      <w:r>
        <w:t xml:space="preserve">  </w:t>
      </w:r>
      <w:r w:rsidRPr="002B7823">
        <w:t xml:space="preserve">The model uses statistical distributions to project a range of 5,000 different possible outcomes for the future behaviour of </w:t>
      </w:r>
      <w:r>
        <w:t xml:space="preserve">different asset classes and wider economic variables, such as inflation. </w:t>
      </w:r>
    </w:p>
    <w:p w14:paraId="3C4FCA7C" w14:textId="77777777" w:rsidR="009942DD" w:rsidRDefault="009942DD" w:rsidP="009942DD">
      <w:r w:rsidRPr="00123448">
        <w:t>The table below shows the calibration of the model as at 31 March 2025 for some sample asset classes and economic variables. All returns are shown net of fees and are the annualised total returns over 5, 10 and 20 years. Yields and inflation refer to the simulated yields at that time horizon.</w:t>
      </w:r>
    </w:p>
    <w:p w14:paraId="0BF83F50" w14:textId="77777777" w:rsidR="00DD4ED1" w:rsidRDefault="00DD4ED1" w:rsidP="001E179F">
      <w:pPr>
        <w:spacing w:after="0"/>
        <w:rPr>
          <w:b/>
          <w:bCs/>
        </w:rPr>
      </w:pPr>
      <w:r w:rsidRPr="00EF59B1">
        <w:rPr>
          <w:b/>
          <w:bCs/>
        </w:rPr>
        <w:t>Annualised total returns</w:t>
      </w:r>
    </w:p>
    <w:tbl>
      <w:tblPr>
        <w:tblStyle w:val="TableGrid1"/>
        <w:tblW w:w="1134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67"/>
        <w:gridCol w:w="709"/>
        <w:gridCol w:w="851"/>
        <w:gridCol w:w="850"/>
        <w:gridCol w:w="709"/>
        <w:gridCol w:w="992"/>
        <w:gridCol w:w="851"/>
        <w:gridCol w:w="850"/>
        <w:gridCol w:w="851"/>
        <w:gridCol w:w="850"/>
        <w:gridCol w:w="851"/>
        <w:gridCol w:w="708"/>
        <w:gridCol w:w="708"/>
      </w:tblGrid>
      <w:tr w:rsidR="00A76D15" w:rsidRPr="004E431B" w14:paraId="23ACAF7D" w14:textId="77777777" w:rsidTr="00492A9F">
        <w:tc>
          <w:tcPr>
            <w:tcW w:w="993" w:type="dxa"/>
            <w:tcBorders>
              <w:top w:val="nil"/>
              <w:left w:val="nil"/>
              <w:bottom w:val="single" w:sz="12" w:space="0" w:color="455560"/>
              <w:right w:val="nil"/>
            </w:tcBorders>
            <w:shd w:val="clear" w:color="auto" w:fill="244D7A"/>
          </w:tcPr>
          <w:p w14:paraId="4B9D1BAF" w14:textId="77777777" w:rsidR="007A5BDC" w:rsidRPr="004E431B" w:rsidRDefault="007A5BDC" w:rsidP="007A5BDC">
            <w:pPr>
              <w:spacing w:after="0"/>
              <w:rPr>
                <w:rFonts w:cstheme="minorHAnsi"/>
                <w:iCs/>
                <w:color w:val="FFFFFF" w:themeColor="background1"/>
                <w:sz w:val="16"/>
                <w:szCs w:val="16"/>
              </w:rPr>
            </w:pPr>
          </w:p>
        </w:tc>
        <w:tc>
          <w:tcPr>
            <w:tcW w:w="567" w:type="dxa"/>
            <w:tcBorders>
              <w:top w:val="nil"/>
              <w:left w:val="nil"/>
              <w:bottom w:val="single" w:sz="12" w:space="0" w:color="455560"/>
              <w:right w:val="nil"/>
            </w:tcBorders>
            <w:shd w:val="clear" w:color="auto" w:fill="244D7A"/>
            <w:hideMark/>
          </w:tcPr>
          <w:p w14:paraId="653BD8D2" w14:textId="6C4BFBF1" w:rsidR="007A5BDC" w:rsidRPr="004E431B" w:rsidRDefault="007A5BDC" w:rsidP="007A5BDC">
            <w:pPr>
              <w:spacing w:after="0"/>
              <w:rPr>
                <w:rFonts w:asciiTheme="minorHAnsi" w:hAnsiTheme="minorHAnsi" w:cstheme="minorHAnsi"/>
                <w:iCs/>
                <w:color w:val="FFFFFF" w:themeColor="background1"/>
                <w:sz w:val="16"/>
                <w:szCs w:val="16"/>
              </w:rPr>
            </w:pPr>
            <w:r>
              <w:rPr>
                <w:rFonts w:asciiTheme="minorHAnsi" w:hAnsiTheme="minorHAnsi" w:cstheme="minorHAnsi"/>
                <w:iCs/>
                <w:color w:val="FFFFFF" w:themeColor="background1"/>
                <w:sz w:val="16"/>
                <w:szCs w:val="16"/>
              </w:rPr>
              <w:t>%ile</w:t>
            </w:r>
          </w:p>
        </w:tc>
        <w:tc>
          <w:tcPr>
            <w:tcW w:w="709" w:type="dxa"/>
            <w:tcBorders>
              <w:top w:val="single" w:sz="12" w:space="0" w:color="455560"/>
              <w:left w:val="nil"/>
              <w:bottom w:val="single" w:sz="12" w:space="0" w:color="455560"/>
              <w:right w:val="nil"/>
            </w:tcBorders>
            <w:shd w:val="clear" w:color="auto" w:fill="244D7A"/>
            <w:hideMark/>
          </w:tcPr>
          <w:p w14:paraId="43F9DEBC" w14:textId="77777777"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Cash</w:t>
            </w:r>
          </w:p>
        </w:tc>
        <w:tc>
          <w:tcPr>
            <w:tcW w:w="851" w:type="dxa"/>
            <w:tcBorders>
              <w:top w:val="single" w:sz="12" w:space="0" w:color="455560"/>
              <w:left w:val="nil"/>
              <w:bottom w:val="single" w:sz="12" w:space="0" w:color="455560"/>
              <w:right w:val="nil"/>
            </w:tcBorders>
            <w:shd w:val="clear" w:color="auto" w:fill="244D7A"/>
            <w:hideMark/>
          </w:tcPr>
          <w:p w14:paraId="63E2A218" w14:textId="7F297A5F"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Index </w:t>
            </w:r>
            <w:r>
              <w:rPr>
                <w:rFonts w:asciiTheme="minorHAnsi" w:hAnsiTheme="minorHAnsi" w:cstheme="minorHAnsi"/>
                <w:b/>
                <w:bCs/>
                <w:iCs/>
                <w:color w:val="FFFFFF" w:themeColor="background1"/>
                <w:sz w:val="16"/>
                <w:szCs w:val="16"/>
              </w:rPr>
              <w:t>l</w:t>
            </w:r>
            <w:r w:rsidRPr="004E431B">
              <w:rPr>
                <w:rFonts w:asciiTheme="minorHAnsi" w:hAnsiTheme="minorHAnsi" w:cstheme="minorHAnsi"/>
                <w:b/>
                <w:bCs/>
                <w:iCs/>
                <w:color w:val="FFFFFF" w:themeColor="background1"/>
                <w:sz w:val="16"/>
                <w:szCs w:val="16"/>
              </w:rPr>
              <w:t xml:space="preserve">inked </w:t>
            </w:r>
            <w:r>
              <w:rPr>
                <w:rFonts w:asciiTheme="minorHAnsi" w:hAnsiTheme="minorHAnsi" w:cstheme="minorHAnsi"/>
                <w:b/>
                <w:bCs/>
                <w:iCs/>
                <w:color w:val="FFFFFF" w:themeColor="background1"/>
                <w:sz w:val="16"/>
                <w:szCs w:val="16"/>
              </w:rPr>
              <w:t>g</w:t>
            </w:r>
            <w:r w:rsidRPr="004E431B">
              <w:rPr>
                <w:rFonts w:asciiTheme="minorHAnsi" w:hAnsiTheme="minorHAnsi" w:cstheme="minorHAnsi"/>
                <w:b/>
                <w:bCs/>
                <w:iCs/>
                <w:color w:val="FFFFFF" w:themeColor="background1"/>
                <w:sz w:val="16"/>
                <w:szCs w:val="16"/>
              </w:rPr>
              <w:t>ilts medium</w:t>
            </w:r>
          </w:p>
        </w:tc>
        <w:tc>
          <w:tcPr>
            <w:tcW w:w="850" w:type="dxa"/>
            <w:tcBorders>
              <w:top w:val="single" w:sz="12" w:space="0" w:color="455560"/>
              <w:left w:val="nil"/>
              <w:bottom w:val="single" w:sz="12" w:space="0" w:color="455560"/>
              <w:right w:val="nil"/>
            </w:tcBorders>
            <w:shd w:val="clear" w:color="auto" w:fill="244D7A"/>
            <w:hideMark/>
          </w:tcPr>
          <w:p w14:paraId="08715DB8" w14:textId="39B770C7"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Fixed </w:t>
            </w:r>
            <w:r>
              <w:rPr>
                <w:rFonts w:asciiTheme="minorHAnsi" w:hAnsiTheme="minorHAnsi" w:cstheme="minorHAnsi"/>
                <w:b/>
                <w:bCs/>
                <w:iCs/>
                <w:color w:val="FFFFFF" w:themeColor="background1"/>
                <w:sz w:val="16"/>
                <w:szCs w:val="16"/>
              </w:rPr>
              <w:t>i</w:t>
            </w:r>
            <w:r w:rsidRPr="004E431B">
              <w:rPr>
                <w:rFonts w:asciiTheme="minorHAnsi" w:hAnsiTheme="minorHAnsi" w:cstheme="minorHAnsi"/>
                <w:b/>
                <w:bCs/>
                <w:iCs/>
                <w:color w:val="FFFFFF" w:themeColor="background1"/>
                <w:sz w:val="16"/>
                <w:szCs w:val="16"/>
              </w:rPr>
              <w:t xml:space="preserve">nterest </w:t>
            </w:r>
            <w:r>
              <w:rPr>
                <w:rFonts w:asciiTheme="minorHAnsi" w:hAnsiTheme="minorHAnsi" w:cstheme="minorHAnsi"/>
                <w:b/>
                <w:bCs/>
                <w:iCs/>
                <w:color w:val="FFFFFF" w:themeColor="background1"/>
                <w:sz w:val="16"/>
                <w:szCs w:val="16"/>
              </w:rPr>
              <w:t>g</w:t>
            </w:r>
            <w:r w:rsidRPr="004E431B">
              <w:rPr>
                <w:rFonts w:asciiTheme="minorHAnsi" w:hAnsiTheme="minorHAnsi" w:cstheme="minorHAnsi"/>
                <w:b/>
                <w:bCs/>
                <w:iCs/>
                <w:color w:val="FFFFFF" w:themeColor="background1"/>
                <w:sz w:val="16"/>
                <w:szCs w:val="16"/>
              </w:rPr>
              <w:t xml:space="preserve">ilts </w:t>
            </w:r>
            <w:r>
              <w:rPr>
                <w:rFonts w:asciiTheme="minorHAnsi" w:hAnsiTheme="minorHAnsi" w:cstheme="minorHAnsi"/>
                <w:b/>
                <w:bCs/>
                <w:iCs/>
                <w:color w:val="FFFFFF" w:themeColor="background1"/>
                <w:sz w:val="16"/>
                <w:szCs w:val="16"/>
              </w:rPr>
              <w:t>m</w:t>
            </w:r>
            <w:r w:rsidRPr="004E431B">
              <w:rPr>
                <w:rFonts w:asciiTheme="minorHAnsi" w:hAnsiTheme="minorHAnsi" w:cstheme="minorHAnsi"/>
                <w:b/>
                <w:bCs/>
                <w:iCs/>
                <w:color w:val="FFFFFF" w:themeColor="background1"/>
                <w:sz w:val="16"/>
                <w:szCs w:val="16"/>
              </w:rPr>
              <w:t>edium</w:t>
            </w:r>
          </w:p>
        </w:tc>
        <w:tc>
          <w:tcPr>
            <w:tcW w:w="709" w:type="dxa"/>
            <w:tcBorders>
              <w:top w:val="single" w:sz="12" w:space="0" w:color="455560"/>
              <w:left w:val="nil"/>
              <w:bottom w:val="single" w:sz="12" w:space="0" w:color="455560"/>
              <w:right w:val="nil"/>
            </w:tcBorders>
            <w:shd w:val="clear" w:color="auto" w:fill="244D7A"/>
            <w:hideMark/>
          </w:tcPr>
          <w:p w14:paraId="00251E02" w14:textId="1113DA96"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UK </w:t>
            </w:r>
            <w:r>
              <w:rPr>
                <w:rFonts w:asciiTheme="minorHAnsi" w:hAnsiTheme="minorHAnsi" w:cstheme="minorHAnsi"/>
                <w:b/>
                <w:bCs/>
                <w:iCs/>
                <w:color w:val="FFFFFF" w:themeColor="background1"/>
                <w:sz w:val="16"/>
                <w:szCs w:val="16"/>
              </w:rPr>
              <w:t>e</w:t>
            </w:r>
            <w:r w:rsidRPr="004E431B">
              <w:rPr>
                <w:rFonts w:asciiTheme="minorHAnsi" w:hAnsiTheme="minorHAnsi" w:cstheme="minorHAnsi"/>
                <w:b/>
                <w:bCs/>
                <w:iCs/>
                <w:color w:val="FFFFFF" w:themeColor="background1"/>
                <w:sz w:val="16"/>
                <w:szCs w:val="16"/>
              </w:rPr>
              <w:t>quity</w:t>
            </w:r>
          </w:p>
        </w:tc>
        <w:tc>
          <w:tcPr>
            <w:tcW w:w="992" w:type="dxa"/>
            <w:tcBorders>
              <w:top w:val="single" w:sz="12" w:space="0" w:color="455560"/>
              <w:left w:val="nil"/>
              <w:bottom w:val="single" w:sz="12" w:space="0" w:color="455560"/>
              <w:right w:val="nil"/>
            </w:tcBorders>
            <w:shd w:val="clear" w:color="auto" w:fill="244D7A"/>
            <w:hideMark/>
          </w:tcPr>
          <w:p w14:paraId="2AFCF51D" w14:textId="28629101" w:rsidR="007A5BDC" w:rsidRPr="004E431B" w:rsidRDefault="007A5BDC" w:rsidP="007A5BDC">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Developed world ex UK</w:t>
            </w:r>
            <w:r w:rsidRPr="004E431B">
              <w:rPr>
                <w:rFonts w:asciiTheme="minorHAnsi" w:hAnsiTheme="minorHAnsi" w:cstheme="minorHAnsi"/>
                <w:b/>
                <w:bCs/>
                <w:iCs/>
                <w:color w:val="FFFFFF" w:themeColor="background1"/>
                <w:sz w:val="16"/>
                <w:szCs w:val="16"/>
              </w:rPr>
              <w:t xml:space="preserve"> </w:t>
            </w:r>
            <w:r>
              <w:rPr>
                <w:rFonts w:asciiTheme="minorHAnsi" w:hAnsiTheme="minorHAnsi" w:cstheme="minorHAnsi"/>
                <w:b/>
                <w:bCs/>
                <w:iCs/>
                <w:color w:val="FFFFFF" w:themeColor="background1"/>
                <w:sz w:val="16"/>
                <w:szCs w:val="16"/>
              </w:rPr>
              <w:t>e</w:t>
            </w:r>
            <w:r w:rsidRPr="004E431B">
              <w:rPr>
                <w:rFonts w:asciiTheme="minorHAnsi" w:hAnsiTheme="minorHAnsi" w:cstheme="minorHAnsi"/>
                <w:b/>
                <w:bCs/>
                <w:iCs/>
                <w:color w:val="FFFFFF" w:themeColor="background1"/>
                <w:sz w:val="16"/>
                <w:szCs w:val="16"/>
              </w:rPr>
              <w:t>quity</w:t>
            </w:r>
          </w:p>
        </w:tc>
        <w:tc>
          <w:tcPr>
            <w:tcW w:w="851" w:type="dxa"/>
            <w:tcBorders>
              <w:top w:val="single" w:sz="12" w:space="0" w:color="455560"/>
              <w:left w:val="nil"/>
              <w:bottom w:val="single" w:sz="12" w:space="0" w:color="455560"/>
              <w:right w:val="nil"/>
            </w:tcBorders>
            <w:shd w:val="clear" w:color="auto" w:fill="244D7A"/>
            <w:hideMark/>
          </w:tcPr>
          <w:p w14:paraId="455430D4" w14:textId="77777777"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Property</w:t>
            </w:r>
          </w:p>
        </w:tc>
        <w:tc>
          <w:tcPr>
            <w:tcW w:w="850" w:type="dxa"/>
            <w:tcBorders>
              <w:top w:val="single" w:sz="12" w:space="0" w:color="455560"/>
              <w:left w:val="nil"/>
              <w:bottom w:val="single" w:sz="12" w:space="0" w:color="455560"/>
              <w:right w:val="nil"/>
            </w:tcBorders>
            <w:shd w:val="clear" w:color="auto" w:fill="244D7A"/>
            <w:hideMark/>
          </w:tcPr>
          <w:p w14:paraId="49E20E54" w14:textId="08B5FA2F" w:rsidR="007A5BDC" w:rsidRPr="004E431B" w:rsidRDefault="007A5BDC" w:rsidP="007A5BDC">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C</w:t>
            </w:r>
            <w:r w:rsidRPr="004E431B">
              <w:rPr>
                <w:rFonts w:asciiTheme="minorHAnsi" w:hAnsiTheme="minorHAnsi" w:cstheme="minorHAnsi"/>
                <w:b/>
                <w:bCs/>
                <w:iCs/>
                <w:color w:val="FFFFFF" w:themeColor="background1"/>
                <w:sz w:val="16"/>
                <w:szCs w:val="16"/>
              </w:rPr>
              <w:t>orp</w:t>
            </w:r>
            <w:r>
              <w:rPr>
                <w:rFonts w:asciiTheme="minorHAnsi" w:hAnsiTheme="minorHAnsi" w:cstheme="minorHAnsi"/>
                <w:b/>
                <w:bCs/>
                <w:iCs/>
                <w:color w:val="FFFFFF" w:themeColor="background1"/>
                <w:sz w:val="16"/>
                <w:szCs w:val="16"/>
              </w:rPr>
              <w:t xml:space="preserve"> medium A</w:t>
            </w:r>
          </w:p>
        </w:tc>
        <w:tc>
          <w:tcPr>
            <w:tcW w:w="851" w:type="dxa"/>
            <w:tcBorders>
              <w:top w:val="nil"/>
              <w:left w:val="nil"/>
              <w:bottom w:val="single" w:sz="12" w:space="0" w:color="455560"/>
              <w:right w:val="nil"/>
            </w:tcBorders>
            <w:shd w:val="clear" w:color="auto" w:fill="244D7A"/>
            <w:hideMark/>
          </w:tcPr>
          <w:p w14:paraId="004C9A24" w14:textId="4779C518" w:rsidR="007A5BDC" w:rsidRPr="004E431B" w:rsidRDefault="007A5BDC" w:rsidP="007A5BDC">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I</w:t>
            </w:r>
            <w:r w:rsidRPr="004E431B">
              <w:rPr>
                <w:rFonts w:asciiTheme="minorHAnsi" w:hAnsiTheme="minorHAnsi" w:cstheme="minorHAnsi"/>
                <w:b/>
                <w:bCs/>
                <w:iCs/>
                <w:color w:val="FFFFFF" w:themeColor="background1"/>
                <w:sz w:val="16"/>
                <w:szCs w:val="16"/>
              </w:rPr>
              <w:t xml:space="preserve">nflation </w:t>
            </w:r>
            <w:r>
              <w:rPr>
                <w:rFonts w:asciiTheme="minorHAnsi" w:hAnsiTheme="minorHAnsi" w:cstheme="minorHAnsi"/>
                <w:b/>
                <w:bCs/>
                <w:iCs/>
                <w:color w:val="FFFFFF" w:themeColor="background1"/>
                <w:sz w:val="16"/>
                <w:szCs w:val="16"/>
              </w:rPr>
              <w:t>(RPI)</w:t>
            </w:r>
          </w:p>
        </w:tc>
        <w:tc>
          <w:tcPr>
            <w:tcW w:w="850" w:type="dxa"/>
            <w:tcBorders>
              <w:top w:val="nil"/>
              <w:left w:val="nil"/>
              <w:bottom w:val="single" w:sz="12" w:space="0" w:color="455560"/>
              <w:right w:val="nil"/>
            </w:tcBorders>
            <w:shd w:val="clear" w:color="auto" w:fill="244D7A"/>
            <w:hideMark/>
          </w:tcPr>
          <w:p w14:paraId="15C20097" w14:textId="04AB9125"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17 year real yield (RPI)</w:t>
            </w:r>
          </w:p>
        </w:tc>
        <w:tc>
          <w:tcPr>
            <w:tcW w:w="851" w:type="dxa"/>
            <w:tcBorders>
              <w:bottom w:val="single" w:sz="4" w:space="0" w:color="auto"/>
            </w:tcBorders>
            <w:shd w:val="clear" w:color="auto" w:fill="244D7A"/>
          </w:tcPr>
          <w:p w14:paraId="2224A08A" w14:textId="529E0D44" w:rsidR="007A5BDC" w:rsidRPr="001E179F" w:rsidRDefault="007A5BDC" w:rsidP="007A5BDC">
            <w:pPr>
              <w:rPr>
                <w:rFonts w:asciiTheme="minorHAnsi" w:hAnsiTheme="minorHAnsi" w:cstheme="minorHAnsi"/>
                <w:b/>
                <w:bCs/>
                <w:iCs/>
                <w:color w:val="FFFFFF" w:themeColor="background1"/>
                <w:sz w:val="16"/>
                <w:szCs w:val="16"/>
              </w:rPr>
            </w:pPr>
            <w:r w:rsidRPr="004557E3">
              <w:rPr>
                <w:rFonts w:cstheme="minorHAnsi"/>
                <w:b/>
                <w:bCs/>
                <w:iCs/>
                <w:color w:val="FFFFFF" w:themeColor="background1"/>
                <w:sz w:val="16"/>
                <w:szCs w:val="16"/>
              </w:rPr>
              <w:t>Inflation CPI</w:t>
            </w:r>
          </w:p>
        </w:tc>
        <w:tc>
          <w:tcPr>
            <w:tcW w:w="708" w:type="dxa"/>
            <w:tcBorders>
              <w:top w:val="nil"/>
              <w:left w:val="nil"/>
              <w:bottom w:val="single" w:sz="12" w:space="0" w:color="455560"/>
              <w:right w:val="nil"/>
            </w:tcBorders>
            <w:shd w:val="clear" w:color="auto" w:fill="244D7A"/>
            <w:hideMark/>
          </w:tcPr>
          <w:p w14:paraId="4E9D6C76" w14:textId="68B18317" w:rsidR="007A5BDC" w:rsidRPr="004E431B" w:rsidRDefault="007A5BDC" w:rsidP="007A5BDC">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17 y</w:t>
            </w:r>
            <w:r w:rsidR="00FD116D">
              <w:rPr>
                <w:rFonts w:asciiTheme="minorHAnsi" w:hAnsiTheme="minorHAnsi" w:cstheme="minorHAnsi"/>
                <w:b/>
                <w:bCs/>
                <w:iCs/>
                <w:color w:val="FFFFFF" w:themeColor="background1"/>
                <w:sz w:val="16"/>
                <w:szCs w:val="16"/>
              </w:rPr>
              <w:t>ea</w:t>
            </w:r>
            <w:r w:rsidRPr="004E431B">
              <w:rPr>
                <w:rFonts w:asciiTheme="minorHAnsi" w:hAnsiTheme="minorHAnsi" w:cstheme="minorHAnsi"/>
                <w:b/>
                <w:bCs/>
                <w:iCs/>
                <w:color w:val="FFFFFF" w:themeColor="background1"/>
                <w:sz w:val="16"/>
                <w:szCs w:val="16"/>
              </w:rPr>
              <w:t xml:space="preserve">r </w:t>
            </w:r>
            <w:r w:rsidR="00B76A9F">
              <w:rPr>
                <w:rFonts w:asciiTheme="minorHAnsi" w:hAnsiTheme="minorHAnsi" w:cstheme="minorHAnsi"/>
                <w:b/>
                <w:bCs/>
                <w:iCs/>
                <w:color w:val="FFFFFF" w:themeColor="background1"/>
                <w:sz w:val="16"/>
                <w:szCs w:val="16"/>
              </w:rPr>
              <w:t>real yield</w:t>
            </w:r>
            <w:r w:rsidRPr="004E431B">
              <w:rPr>
                <w:rFonts w:asciiTheme="minorHAnsi" w:hAnsiTheme="minorHAnsi" w:cstheme="minorHAnsi"/>
                <w:b/>
                <w:bCs/>
                <w:iCs/>
                <w:color w:val="FFFFFF" w:themeColor="background1"/>
                <w:sz w:val="16"/>
                <w:szCs w:val="16"/>
              </w:rPr>
              <w:t xml:space="preserve"> </w:t>
            </w:r>
            <w:r w:rsidR="00B76A9F">
              <w:rPr>
                <w:rFonts w:asciiTheme="minorHAnsi" w:hAnsiTheme="minorHAnsi" w:cstheme="minorHAnsi"/>
                <w:b/>
                <w:bCs/>
                <w:iCs/>
                <w:color w:val="FFFFFF" w:themeColor="background1"/>
                <w:sz w:val="16"/>
                <w:szCs w:val="16"/>
              </w:rPr>
              <w:t>CPI</w:t>
            </w:r>
          </w:p>
        </w:tc>
        <w:tc>
          <w:tcPr>
            <w:tcW w:w="708" w:type="dxa"/>
            <w:tcBorders>
              <w:bottom w:val="single" w:sz="4" w:space="0" w:color="auto"/>
            </w:tcBorders>
            <w:shd w:val="clear" w:color="auto" w:fill="244D7A"/>
          </w:tcPr>
          <w:p w14:paraId="7FAABA90" w14:textId="66622C70" w:rsidR="007A5BDC" w:rsidRPr="004E431B" w:rsidRDefault="007A5BDC" w:rsidP="007A5BDC">
            <w:pPr>
              <w:rPr>
                <w:rFonts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17 y</w:t>
            </w:r>
            <w:r w:rsidR="00FD116D">
              <w:rPr>
                <w:rFonts w:asciiTheme="minorHAnsi" w:hAnsiTheme="minorHAnsi" w:cstheme="minorHAnsi"/>
                <w:b/>
                <w:bCs/>
                <w:iCs/>
                <w:color w:val="FFFFFF" w:themeColor="background1"/>
                <w:sz w:val="16"/>
                <w:szCs w:val="16"/>
              </w:rPr>
              <w:t>ear</w:t>
            </w:r>
            <w:r w:rsidRPr="004E431B">
              <w:rPr>
                <w:rFonts w:asciiTheme="minorHAnsi" w:hAnsiTheme="minorHAnsi" w:cstheme="minorHAnsi"/>
                <w:b/>
                <w:bCs/>
                <w:iCs/>
                <w:color w:val="FFFFFF" w:themeColor="background1"/>
                <w:sz w:val="16"/>
                <w:szCs w:val="16"/>
              </w:rPr>
              <w:t xml:space="preserve"> </w:t>
            </w:r>
            <w:r w:rsidR="00FD116D">
              <w:rPr>
                <w:rFonts w:asciiTheme="minorHAnsi" w:hAnsiTheme="minorHAnsi" w:cstheme="minorHAnsi"/>
                <w:b/>
                <w:bCs/>
                <w:iCs/>
                <w:color w:val="FFFFFF" w:themeColor="background1"/>
                <w:sz w:val="16"/>
                <w:szCs w:val="16"/>
              </w:rPr>
              <w:t>yield</w:t>
            </w:r>
          </w:p>
        </w:tc>
      </w:tr>
      <w:tr w:rsidR="00492A9F" w:rsidRPr="004E431B" w14:paraId="13F21420" w14:textId="162CD3E4" w:rsidTr="00492A9F">
        <w:trPr>
          <w:trHeight w:val="138"/>
        </w:trPr>
        <w:tc>
          <w:tcPr>
            <w:tcW w:w="993" w:type="dxa"/>
            <w:tcBorders>
              <w:top w:val="single" w:sz="12" w:space="0" w:color="455560"/>
              <w:left w:val="nil"/>
              <w:right w:val="nil"/>
            </w:tcBorders>
          </w:tcPr>
          <w:p w14:paraId="01C1E4A1"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5</w:t>
            </w:r>
            <w:r w:rsidRPr="00FA27FB">
              <w:rPr>
                <w:rFonts w:asciiTheme="minorHAnsi" w:hAnsiTheme="minorHAnsi" w:cstheme="minorHAnsi"/>
                <w:b/>
                <w:bCs/>
                <w:iCs/>
                <w:color w:val="auto"/>
                <w:sz w:val="18"/>
                <w:szCs w:val="18"/>
              </w:rPr>
              <w:t xml:space="preserve"> </w:t>
            </w:r>
          </w:p>
        </w:tc>
        <w:tc>
          <w:tcPr>
            <w:tcW w:w="567" w:type="dxa"/>
            <w:tcBorders>
              <w:top w:val="single" w:sz="12" w:space="0" w:color="455560"/>
              <w:left w:val="nil"/>
              <w:bottom w:val="single" w:sz="4" w:space="0" w:color="455560"/>
              <w:right w:val="nil"/>
            </w:tcBorders>
            <w:hideMark/>
          </w:tcPr>
          <w:p w14:paraId="066CB30F" w14:textId="3484B8A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12" w:space="0" w:color="455560"/>
              <w:left w:val="nil"/>
              <w:bottom w:val="single" w:sz="4" w:space="0" w:color="455560"/>
              <w:right w:val="nil"/>
            </w:tcBorders>
            <w:hideMark/>
          </w:tcPr>
          <w:p w14:paraId="131DED44"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7E24179E"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49AAF5C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2.2</w:t>
            </w:r>
            <w:r w:rsidRPr="004E431B">
              <w:rPr>
                <w:rFonts w:asciiTheme="minorHAnsi" w:hAnsiTheme="minorHAnsi" w:cstheme="minorHAnsi"/>
                <w:iCs/>
                <w:color w:val="auto"/>
                <w:sz w:val="18"/>
                <w:szCs w:val="18"/>
              </w:rPr>
              <w:t>%</w:t>
            </w:r>
          </w:p>
        </w:tc>
        <w:tc>
          <w:tcPr>
            <w:tcW w:w="709" w:type="dxa"/>
            <w:tcBorders>
              <w:top w:val="single" w:sz="12" w:space="0" w:color="455560"/>
              <w:left w:val="nil"/>
              <w:bottom w:val="single" w:sz="4" w:space="0" w:color="455560"/>
              <w:right w:val="nil"/>
            </w:tcBorders>
            <w:hideMark/>
          </w:tcPr>
          <w:p w14:paraId="3EA2DE2E"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1</w:t>
            </w:r>
            <w:r w:rsidRPr="004E431B">
              <w:rPr>
                <w:rFonts w:asciiTheme="minorHAnsi" w:hAnsiTheme="minorHAnsi" w:cstheme="minorHAnsi"/>
                <w:iCs/>
                <w:color w:val="auto"/>
                <w:sz w:val="18"/>
                <w:szCs w:val="18"/>
              </w:rPr>
              <w:t>%</w:t>
            </w:r>
          </w:p>
        </w:tc>
        <w:tc>
          <w:tcPr>
            <w:tcW w:w="992" w:type="dxa"/>
            <w:tcBorders>
              <w:top w:val="single" w:sz="12" w:space="0" w:color="455560"/>
              <w:left w:val="nil"/>
              <w:bottom w:val="single" w:sz="4" w:space="0" w:color="455560"/>
              <w:right w:val="nil"/>
            </w:tcBorders>
            <w:hideMark/>
          </w:tcPr>
          <w:p w14:paraId="0932683A"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6DD5208E"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244EDD3A"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0089B47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tcBorders>
            <w:hideMark/>
          </w:tcPr>
          <w:p w14:paraId="3DDC19A2" w14:textId="3E64EE36"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4F63BBF7" w14:textId="11904830"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1.2%</w:t>
            </w:r>
          </w:p>
        </w:tc>
        <w:tc>
          <w:tcPr>
            <w:tcW w:w="708" w:type="dxa"/>
            <w:tcBorders>
              <w:top w:val="single" w:sz="12" w:space="0" w:color="455560"/>
              <w:bottom w:val="single" w:sz="4" w:space="0" w:color="455560"/>
            </w:tcBorders>
            <w:hideMark/>
          </w:tcPr>
          <w:p w14:paraId="3FD039BD" w14:textId="75771CFC"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50C99989" w14:textId="0BD2901B" w:rsidR="00870705" w:rsidRPr="001E179F" w:rsidRDefault="002B4D81"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4.8%</w:t>
            </w:r>
          </w:p>
        </w:tc>
      </w:tr>
      <w:tr w:rsidR="00492A9F" w:rsidRPr="004E431B" w14:paraId="212A2B8B" w14:textId="5C085CDE" w:rsidTr="00492A9F">
        <w:trPr>
          <w:trHeight w:val="175"/>
        </w:trPr>
        <w:tc>
          <w:tcPr>
            <w:tcW w:w="993" w:type="dxa"/>
            <w:tcBorders>
              <w:left w:val="nil"/>
              <w:right w:val="nil"/>
            </w:tcBorders>
          </w:tcPr>
          <w:p w14:paraId="70938427"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6641C447" w14:textId="7F641111"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0413B83B"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038F5A26"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2D82057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4.3</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7017D59B"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8.2</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5D6A8A6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8.2</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5B4D5FD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6.8</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4261EE87"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4.9</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420898D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3.8</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5EDB79B8"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2.4</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7033FF26" w14:textId="2420C808"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2.8%</w:t>
            </w:r>
          </w:p>
        </w:tc>
        <w:tc>
          <w:tcPr>
            <w:tcW w:w="708" w:type="dxa"/>
            <w:tcBorders>
              <w:top w:val="single" w:sz="4" w:space="0" w:color="455560"/>
              <w:bottom w:val="single" w:sz="4" w:space="0" w:color="455560"/>
            </w:tcBorders>
            <w:hideMark/>
          </w:tcPr>
          <w:p w14:paraId="24D961FC" w14:textId="767B3A86"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2.4</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47DFAB02" w14:textId="223444C9" w:rsidR="00870705" w:rsidRPr="001E179F" w:rsidRDefault="00312917"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5.8%</w:t>
            </w:r>
          </w:p>
        </w:tc>
      </w:tr>
      <w:tr w:rsidR="00492A9F" w:rsidRPr="004E431B" w14:paraId="51C2A55D" w14:textId="7A23900A" w:rsidTr="001E179F">
        <w:trPr>
          <w:trHeight w:val="97"/>
        </w:trPr>
        <w:tc>
          <w:tcPr>
            <w:tcW w:w="993" w:type="dxa"/>
            <w:tcBorders>
              <w:left w:val="nil"/>
              <w:bottom w:val="single" w:sz="4" w:space="0" w:color="auto"/>
              <w:right w:val="nil"/>
            </w:tcBorders>
          </w:tcPr>
          <w:p w14:paraId="474B19D7"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p>
        </w:tc>
        <w:tc>
          <w:tcPr>
            <w:tcW w:w="567" w:type="dxa"/>
            <w:tcBorders>
              <w:top w:val="single" w:sz="4" w:space="0" w:color="455560"/>
              <w:left w:val="nil"/>
              <w:bottom w:val="single" w:sz="4" w:space="0" w:color="auto"/>
              <w:right w:val="nil"/>
            </w:tcBorders>
            <w:hideMark/>
          </w:tcPr>
          <w:p w14:paraId="272B1CD5" w14:textId="69970423"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auto"/>
              <w:right w:val="nil"/>
            </w:tcBorders>
            <w:hideMark/>
          </w:tcPr>
          <w:p w14:paraId="3BFDD50C"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13E2F3A5"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right w:val="nil"/>
            </w:tcBorders>
            <w:hideMark/>
          </w:tcPr>
          <w:p w14:paraId="04A9C2F5"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6.2</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auto"/>
              <w:right w:val="nil"/>
            </w:tcBorders>
            <w:hideMark/>
          </w:tcPr>
          <w:p w14:paraId="7FA8E57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auto"/>
              <w:right w:val="nil"/>
            </w:tcBorders>
            <w:hideMark/>
          </w:tcPr>
          <w:p w14:paraId="0D7772A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6.9</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3A77211A"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14.1</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right w:val="nil"/>
            </w:tcBorders>
            <w:hideMark/>
          </w:tcPr>
          <w:p w14:paraId="073DBC8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6675ADC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tcBorders>
            <w:hideMark/>
          </w:tcPr>
          <w:p w14:paraId="4B9984D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4BFD469D" w14:textId="4CDDADFE"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4.3%</w:t>
            </w:r>
          </w:p>
        </w:tc>
        <w:tc>
          <w:tcPr>
            <w:tcW w:w="708" w:type="dxa"/>
            <w:tcBorders>
              <w:top w:val="single" w:sz="4" w:space="0" w:color="455560"/>
              <w:bottom w:val="single" w:sz="4" w:space="0" w:color="auto"/>
            </w:tcBorders>
            <w:hideMark/>
          </w:tcPr>
          <w:p w14:paraId="5B8AE1A2" w14:textId="6E024059"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4159C7E5" w14:textId="62FDE8DB" w:rsidR="00870705" w:rsidRPr="001E179F" w:rsidRDefault="00312917"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7.1%</w:t>
            </w:r>
          </w:p>
        </w:tc>
      </w:tr>
      <w:tr w:rsidR="00492A9F" w:rsidRPr="004E431B" w14:paraId="7FCD3790" w14:textId="2D5CAF2E" w:rsidTr="001E179F">
        <w:trPr>
          <w:trHeight w:val="113"/>
        </w:trPr>
        <w:tc>
          <w:tcPr>
            <w:tcW w:w="993" w:type="dxa"/>
            <w:tcBorders>
              <w:top w:val="single" w:sz="4" w:space="0" w:color="auto"/>
              <w:left w:val="nil"/>
              <w:right w:val="nil"/>
            </w:tcBorders>
          </w:tcPr>
          <w:p w14:paraId="4399A94E"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1</w:t>
            </w:r>
            <w:r w:rsidRPr="00FA27FB">
              <w:rPr>
                <w:rFonts w:asciiTheme="minorHAnsi" w:hAnsiTheme="minorHAnsi" w:cstheme="minorHAnsi"/>
                <w:b/>
                <w:bCs/>
                <w:iCs/>
                <w:color w:val="auto"/>
                <w:sz w:val="18"/>
                <w:szCs w:val="18"/>
              </w:rPr>
              <w:t>0</w:t>
            </w:r>
          </w:p>
        </w:tc>
        <w:tc>
          <w:tcPr>
            <w:tcW w:w="567" w:type="dxa"/>
            <w:tcBorders>
              <w:top w:val="single" w:sz="4" w:space="0" w:color="auto"/>
              <w:left w:val="nil"/>
              <w:bottom w:val="single" w:sz="4" w:space="0" w:color="455560"/>
              <w:right w:val="nil"/>
            </w:tcBorders>
            <w:hideMark/>
          </w:tcPr>
          <w:p w14:paraId="7900FBE9" w14:textId="7D2F1E8A"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4" w:space="0" w:color="auto"/>
              <w:left w:val="nil"/>
              <w:bottom w:val="single" w:sz="4" w:space="0" w:color="455560"/>
              <w:right w:val="nil"/>
            </w:tcBorders>
            <w:hideMark/>
          </w:tcPr>
          <w:p w14:paraId="35CD0D09"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3.6</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1679E19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2.7</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right w:val="nil"/>
            </w:tcBorders>
            <w:hideMark/>
          </w:tcPr>
          <w:p w14:paraId="5CD151F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4.2</w:t>
            </w:r>
            <w:r w:rsidRPr="004E431B">
              <w:rPr>
                <w:rFonts w:asciiTheme="minorHAnsi" w:hAnsiTheme="minorHAnsi" w:cstheme="minorHAnsi"/>
                <w:iCs/>
                <w:color w:val="auto"/>
                <w:sz w:val="18"/>
                <w:szCs w:val="18"/>
              </w:rPr>
              <w:t>%</w:t>
            </w:r>
          </w:p>
        </w:tc>
        <w:tc>
          <w:tcPr>
            <w:tcW w:w="709" w:type="dxa"/>
            <w:tcBorders>
              <w:top w:val="single" w:sz="4" w:space="0" w:color="auto"/>
              <w:left w:val="nil"/>
              <w:bottom w:val="single" w:sz="4" w:space="0" w:color="455560"/>
              <w:right w:val="nil"/>
            </w:tcBorders>
            <w:hideMark/>
          </w:tcPr>
          <w:p w14:paraId="6541B22A"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2.5</w:t>
            </w:r>
            <w:r w:rsidRPr="004E431B">
              <w:rPr>
                <w:rFonts w:asciiTheme="minorHAnsi" w:hAnsiTheme="minorHAnsi" w:cstheme="minorHAnsi"/>
                <w:iCs/>
                <w:color w:val="auto"/>
                <w:sz w:val="18"/>
                <w:szCs w:val="18"/>
              </w:rPr>
              <w:t>%</w:t>
            </w:r>
          </w:p>
        </w:tc>
        <w:tc>
          <w:tcPr>
            <w:tcW w:w="992" w:type="dxa"/>
            <w:tcBorders>
              <w:top w:val="single" w:sz="4" w:space="0" w:color="auto"/>
              <w:left w:val="nil"/>
              <w:bottom w:val="single" w:sz="4" w:space="0" w:color="455560"/>
              <w:right w:val="nil"/>
            </w:tcBorders>
            <w:hideMark/>
          </w:tcPr>
          <w:p w14:paraId="245CDBC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19678DE7"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2.3</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right w:val="nil"/>
            </w:tcBorders>
            <w:hideMark/>
          </w:tcPr>
          <w:p w14:paraId="34BB8407" w14:textId="77777777" w:rsidR="00870705" w:rsidRPr="004E431B" w:rsidRDefault="00870705" w:rsidP="00870705">
            <w:pPr>
              <w:spacing w:before="16" w:after="0" w:line="276" w:lineRule="auto"/>
              <w:ind w:left="-211" w:firstLine="211"/>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18C4C15C"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tcBorders>
            <w:hideMark/>
          </w:tcPr>
          <w:p w14:paraId="4F3A9E78"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7211879D" w14:textId="1C74D798"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0.8%</w:t>
            </w:r>
          </w:p>
        </w:tc>
        <w:tc>
          <w:tcPr>
            <w:tcW w:w="708" w:type="dxa"/>
            <w:tcBorders>
              <w:top w:val="single" w:sz="4" w:space="0" w:color="auto"/>
              <w:bottom w:val="single" w:sz="4" w:space="0" w:color="455560"/>
            </w:tcBorders>
            <w:hideMark/>
          </w:tcPr>
          <w:p w14:paraId="16DE3657" w14:textId="1418EF65"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57B9397F" w14:textId="3518B328" w:rsidR="00870705" w:rsidRPr="001E179F" w:rsidRDefault="00312917"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3.9%</w:t>
            </w:r>
          </w:p>
        </w:tc>
      </w:tr>
      <w:tr w:rsidR="00492A9F" w:rsidRPr="004E431B" w14:paraId="04D24ABB" w14:textId="05086A45" w:rsidTr="00492A9F">
        <w:trPr>
          <w:trHeight w:val="113"/>
        </w:trPr>
        <w:tc>
          <w:tcPr>
            <w:tcW w:w="993" w:type="dxa"/>
            <w:tcBorders>
              <w:left w:val="nil"/>
              <w:right w:val="nil"/>
            </w:tcBorders>
          </w:tcPr>
          <w:p w14:paraId="144F0977"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372ACEFB" w14:textId="2D29E25B"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0053483B"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1606B92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4.7</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1AF8FB96"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5CD86E1B"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8.6</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7604F23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36CC7A0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5D73115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6.0</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226E62B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7FCF0F2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500ADDDF" w14:textId="69F00744"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2.5%</w:t>
            </w:r>
          </w:p>
        </w:tc>
        <w:tc>
          <w:tcPr>
            <w:tcW w:w="708" w:type="dxa"/>
            <w:tcBorders>
              <w:top w:val="single" w:sz="4" w:space="0" w:color="455560"/>
              <w:bottom w:val="single" w:sz="4" w:space="0" w:color="455560"/>
            </w:tcBorders>
            <w:hideMark/>
          </w:tcPr>
          <w:p w14:paraId="458630BA" w14:textId="0B77BBB8"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2EE1905D" w14:textId="571ACCC5" w:rsidR="00870705" w:rsidRPr="001E179F" w:rsidRDefault="00312917"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5.3%</w:t>
            </w:r>
          </w:p>
        </w:tc>
      </w:tr>
      <w:tr w:rsidR="00C47011" w:rsidRPr="004E431B" w14:paraId="4E7B5519" w14:textId="79268CA7" w:rsidTr="001E179F">
        <w:trPr>
          <w:trHeight w:val="113"/>
        </w:trPr>
        <w:tc>
          <w:tcPr>
            <w:tcW w:w="993" w:type="dxa"/>
            <w:tcBorders>
              <w:left w:val="nil"/>
              <w:bottom w:val="single" w:sz="12" w:space="0" w:color="455560"/>
              <w:right w:val="nil"/>
            </w:tcBorders>
          </w:tcPr>
          <w:p w14:paraId="7AF300C8" w14:textId="77777777" w:rsidR="00C47011" w:rsidRPr="00FA27FB" w:rsidRDefault="00C47011" w:rsidP="00C47011">
            <w:pPr>
              <w:spacing w:before="16" w:after="0" w:line="276" w:lineRule="auto"/>
              <w:rPr>
                <w:rFonts w:asciiTheme="minorHAnsi" w:hAnsiTheme="minorHAnsi" w:cstheme="minorHAnsi"/>
                <w:b/>
                <w:bCs/>
                <w:iCs/>
                <w:color w:val="auto"/>
                <w:sz w:val="18"/>
                <w:szCs w:val="18"/>
              </w:rPr>
            </w:pPr>
          </w:p>
        </w:tc>
        <w:tc>
          <w:tcPr>
            <w:tcW w:w="567" w:type="dxa"/>
            <w:tcBorders>
              <w:top w:val="single" w:sz="4" w:space="0" w:color="455560"/>
              <w:left w:val="nil"/>
              <w:bottom w:val="single" w:sz="12" w:space="0" w:color="455560"/>
              <w:right w:val="nil"/>
            </w:tcBorders>
            <w:hideMark/>
          </w:tcPr>
          <w:p w14:paraId="5771E91F" w14:textId="2F8541A5" w:rsidR="00C47011" w:rsidRPr="004E431B" w:rsidRDefault="00C47011" w:rsidP="00C47011">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12" w:space="0" w:color="455560"/>
              <w:right w:val="nil"/>
            </w:tcBorders>
            <w:hideMark/>
          </w:tcPr>
          <w:p w14:paraId="48093CD4" w14:textId="301C856B"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5.8</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12" w:space="0" w:color="455560"/>
              <w:right w:val="nil"/>
            </w:tcBorders>
            <w:hideMark/>
          </w:tcPr>
          <w:p w14:paraId="256F6071" w14:textId="64AF414C"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.9%</w:t>
            </w:r>
          </w:p>
        </w:tc>
        <w:tc>
          <w:tcPr>
            <w:tcW w:w="850" w:type="dxa"/>
            <w:tcBorders>
              <w:top w:val="single" w:sz="4" w:space="0" w:color="455560"/>
              <w:left w:val="nil"/>
              <w:bottom w:val="single" w:sz="12" w:space="0" w:color="455560"/>
              <w:right w:val="nil"/>
            </w:tcBorders>
            <w:hideMark/>
          </w:tcPr>
          <w:p w14:paraId="3CD39735" w14:textId="63FC19CB"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12" w:space="0" w:color="455560"/>
              <w:right w:val="nil"/>
            </w:tcBorders>
            <w:hideMark/>
          </w:tcPr>
          <w:p w14:paraId="1C5CA306" w14:textId="1F35A0BC" w:rsidR="00C47011" w:rsidRPr="004E431B" w:rsidRDefault="00C47011" w:rsidP="00C47011">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.6%</w:t>
            </w:r>
          </w:p>
        </w:tc>
        <w:tc>
          <w:tcPr>
            <w:tcW w:w="992" w:type="dxa"/>
            <w:tcBorders>
              <w:top w:val="single" w:sz="4" w:space="0" w:color="455560"/>
              <w:left w:val="nil"/>
              <w:bottom w:val="single" w:sz="12" w:space="0" w:color="455560"/>
              <w:right w:val="nil"/>
            </w:tcBorders>
            <w:hideMark/>
          </w:tcPr>
          <w:p w14:paraId="28E6DDB2" w14:textId="3E97DB3C"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w:t>
            </w:r>
            <w:r w:rsidRPr="004E431B">
              <w:rPr>
                <w:rFonts w:asciiTheme="minorHAnsi" w:hAnsiTheme="minorHAnsi" w:cstheme="minorHAnsi"/>
                <w:iCs/>
                <w:color w:val="auto"/>
                <w:sz w:val="18"/>
                <w:szCs w:val="18"/>
              </w:rPr>
              <w:t>.8%</w:t>
            </w:r>
          </w:p>
        </w:tc>
        <w:tc>
          <w:tcPr>
            <w:tcW w:w="851" w:type="dxa"/>
            <w:tcBorders>
              <w:top w:val="single" w:sz="4" w:space="0" w:color="455560"/>
              <w:left w:val="nil"/>
              <w:bottom w:val="single" w:sz="12" w:space="0" w:color="455560"/>
              <w:right w:val="nil"/>
            </w:tcBorders>
            <w:hideMark/>
          </w:tcPr>
          <w:p w14:paraId="3BD3B833" w14:textId="52025244"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12.7</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12" w:space="0" w:color="455560"/>
              <w:right w:val="nil"/>
            </w:tcBorders>
            <w:hideMark/>
          </w:tcPr>
          <w:p w14:paraId="444E61C1" w14:textId="2ED661FE"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12" w:space="0" w:color="455560"/>
              <w:right w:val="nil"/>
            </w:tcBorders>
            <w:hideMark/>
          </w:tcPr>
          <w:p w14:paraId="0E09122B" w14:textId="5B44A479" w:rsidR="00C47011" w:rsidRPr="004E431B" w:rsidRDefault="00C47011" w:rsidP="00C47011">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12" w:space="0" w:color="455560"/>
            </w:tcBorders>
            <w:hideMark/>
          </w:tcPr>
          <w:p w14:paraId="0D0AA210" w14:textId="4C91366E"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1A798CD8" w14:textId="39DE142E" w:rsidR="00C47011" w:rsidRPr="001E179F" w:rsidRDefault="00C47011" w:rsidP="00C47011">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4.1%</w:t>
            </w:r>
          </w:p>
        </w:tc>
        <w:tc>
          <w:tcPr>
            <w:tcW w:w="708" w:type="dxa"/>
            <w:tcBorders>
              <w:top w:val="single" w:sz="4" w:space="0" w:color="455560"/>
              <w:bottom w:val="single" w:sz="12" w:space="0" w:color="455560"/>
            </w:tcBorders>
            <w:hideMark/>
          </w:tcPr>
          <w:p w14:paraId="6BF7FA41" w14:textId="352CA695" w:rsidR="00C47011" w:rsidRPr="004E431B" w:rsidRDefault="00C47011" w:rsidP="00C47011">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56EEE0FF" w14:textId="3E861ED0" w:rsidR="00C47011" w:rsidRPr="001E179F" w:rsidRDefault="00C47011" w:rsidP="00C47011">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7.1%</w:t>
            </w:r>
          </w:p>
        </w:tc>
      </w:tr>
      <w:tr w:rsidR="00492A9F" w:rsidRPr="004E431B" w14:paraId="79F32FFB" w14:textId="25FBE0AB" w:rsidTr="00492A9F">
        <w:trPr>
          <w:trHeight w:val="113"/>
        </w:trPr>
        <w:tc>
          <w:tcPr>
            <w:tcW w:w="993" w:type="dxa"/>
            <w:tcBorders>
              <w:top w:val="single" w:sz="12" w:space="0" w:color="455560"/>
              <w:left w:val="nil"/>
              <w:right w:val="nil"/>
            </w:tcBorders>
          </w:tcPr>
          <w:p w14:paraId="2FEAABE2"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2</w:t>
            </w:r>
            <w:r w:rsidRPr="00FA27FB">
              <w:rPr>
                <w:rFonts w:asciiTheme="minorHAnsi" w:hAnsiTheme="minorHAnsi" w:cstheme="minorHAnsi"/>
                <w:b/>
                <w:bCs/>
                <w:iCs/>
                <w:color w:val="auto"/>
                <w:sz w:val="18"/>
                <w:szCs w:val="18"/>
              </w:rPr>
              <w:t>0</w:t>
            </w:r>
          </w:p>
        </w:tc>
        <w:tc>
          <w:tcPr>
            <w:tcW w:w="567" w:type="dxa"/>
            <w:tcBorders>
              <w:top w:val="single" w:sz="12" w:space="0" w:color="455560"/>
              <w:left w:val="nil"/>
              <w:bottom w:val="single" w:sz="4" w:space="0" w:color="455560"/>
              <w:right w:val="nil"/>
            </w:tcBorders>
            <w:hideMark/>
          </w:tcPr>
          <w:p w14:paraId="58D0CEC6" w14:textId="5E8B46C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12" w:space="0" w:color="455560"/>
              <w:left w:val="nil"/>
              <w:bottom w:val="single" w:sz="4" w:space="0" w:color="455560"/>
              <w:right w:val="nil"/>
            </w:tcBorders>
            <w:hideMark/>
          </w:tcPr>
          <w:p w14:paraId="5D995B51"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3.1</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5F51270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2.9</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47529035"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709" w:type="dxa"/>
            <w:tcBorders>
              <w:top w:val="single" w:sz="12" w:space="0" w:color="455560"/>
              <w:left w:val="nil"/>
              <w:bottom w:val="single" w:sz="4" w:space="0" w:color="455560"/>
              <w:right w:val="nil"/>
            </w:tcBorders>
            <w:hideMark/>
          </w:tcPr>
          <w:p w14:paraId="45730D3B"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992" w:type="dxa"/>
            <w:tcBorders>
              <w:top w:val="single" w:sz="12" w:space="0" w:color="455560"/>
              <w:left w:val="nil"/>
              <w:bottom w:val="single" w:sz="4" w:space="0" w:color="455560"/>
              <w:right w:val="nil"/>
            </w:tcBorders>
            <w:hideMark/>
          </w:tcPr>
          <w:p w14:paraId="69CF7150"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563B04F2"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3.5</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31398D8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07F87208"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tcBorders>
            <w:hideMark/>
          </w:tcPr>
          <w:p w14:paraId="613B5088" w14:textId="5901A94C"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7FBB4DAC" w14:textId="204E3065"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0.7%</w:t>
            </w:r>
          </w:p>
        </w:tc>
        <w:tc>
          <w:tcPr>
            <w:tcW w:w="708" w:type="dxa"/>
            <w:tcBorders>
              <w:top w:val="single" w:sz="12" w:space="0" w:color="455560"/>
              <w:bottom w:val="single" w:sz="4" w:space="0" w:color="455560"/>
            </w:tcBorders>
            <w:hideMark/>
          </w:tcPr>
          <w:p w14:paraId="3B8D5104" w14:textId="56F140CD"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4AE6D7F0" w14:textId="5F02FEDB" w:rsidR="00870705" w:rsidRPr="001E179F" w:rsidRDefault="00312917"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1.6%</w:t>
            </w:r>
          </w:p>
        </w:tc>
      </w:tr>
      <w:tr w:rsidR="00492A9F" w:rsidRPr="004E431B" w14:paraId="653F0974" w14:textId="7BAD37ED" w:rsidTr="00492A9F">
        <w:trPr>
          <w:trHeight w:val="113"/>
        </w:trPr>
        <w:tc>
          <w:tcPr>
            <w:tcW w:w="993" w:type="dxa"/>
            <w:tcBorders>
              <w:left w:val="nil"/>
              <w:right w:val="nil"/>
            </w:tcBorders>
          </w:tcPr>
          <w:p w14:paraId="7280FDEB" w14:textId="77777777" w:rsidR="00870705" w:rsidRPr="00FA27FB" w:rsidRDefault="00870705" w:rsidP="00870705">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599A0B71" w14:textId="04DAA8A2"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05B5DD9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2D03E1F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4.6</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0901C72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5.8</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24431DDC"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8.4</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3DDD34D9"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6A413DF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63F27A4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684AD2CF"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19862C30" w14:textId="486DC6B1"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3FE9A188" w14:textId="4CF67608"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2.3%</w:t>
            </w:r>
          </w:p>
        </w:tc>
        <w:tc>
          <w:tcPr>
            <w:tcW w:w="708" w:type="dxa"/>
            <w:tcBorders>
              <w:top w:val="single" w:sz="4" w:space="0" w:color="455560"/>
              <w:bottom w:val="single" w:sz="4" w:space="0" w:color="455560"/>
            </w:tcBorders>
            <w:hideMark/>
          </w:tcPr>
          <w:p w14:paraId="4B59F0DF" w14:textId="0DC5F0ED"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3F478392" w14:textId="35996E78" w:rsidR="00870705" w:rsidRPr="001E179F" w:rsidRDefault="0099161E"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3.6%</w:t>
            </w:r>
          </w:p>
        </w:tc>
      </w:tr>
      <w:tr w:rsidR="00492A9F" w:rsidRPr="004E431B" w14:paraId="542B124C" w14:textId="327BBBAA" w:rsidTr="00492A9F">
        <w:trPr>
          <w:trHeight w:val="113"/>
        </w:trPr>
        <w:tc>
          <w:tcPr>
            <w:tcW w:w="993" w:type="dxa"/>
            <w:tcBorders>
              <w:left w:val="nil"/>
              <w:bottom w:val="single" w:sz="4" w:space="0" w:color="244D7A"/>
              <w:right w:val="nil"/>
            </w:tcBorders>
          </w:tcPr>
          <w:p w14:paraId="7B9F014F" w14:textId="77777777" w:rsidR="00870705" w:rsidRPr="00EF59B1" w:rsidRDefault="00870705" w:rsidP="00870705">
            <w:pPr>
              <w:spacing w:before="16" w:after="0" w:line="276" w:lineRule="auto"/>
              <w:rPr>
                <w:rFonts w:asciiTheme="minorHAnsi" w:hAnsiTheme="minorHAnsi" w:cstheme="minorHAnsi"/>
                <w:iCs/>
                <w:sz w:val="16"/>
                <w:szCs w:val="16"/>
              </w:rPr>
            </w:pPr>
          </w:p>
        </w:tc>
        <w:tc>
          <w:tcPr>
            <w:tcW w:w="567" w:type="dxa"/>
            <w:tcBorders>
              <w:top w:val="single" w:sz="4" w:space="0" w:color="455560"/>
              <w:left w:val="nil"/>
              <w:bottom w:val="single" w:sz="4" w:space="0" w:color="244D7A"/>
              <w:right w:val="nil"/>
            </w:tcBorders>
            <w:hideMark/>
          </w:tcPr>
          <w:p w14:paraId="1E022B5D" w14:textId="7D8694D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244D7A"/>
              <w:right w:val="nil"/>
            </w:tcBorders>
            <w:hideMark/>
          </w:tcPr>
          <w:p w14:paraId="54464568"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244D7A"/>
              <w:right w:val="nil"/>
            </w:tcBorders>
            <w:hideMark/>
          </w:tcPr>
          <w:p w14:paraId="26E19095"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6.4</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right w:val="nil"/>
            </w:tcBorders>
            <w:hideMark/>
          </w:tcPr>
          <w:p w14:paraId="367469E3"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.5%</w:t>
            </w:r>
          </w:p>
        </w:tc>
        <w:tc>
          <w:tcPr>
            <w:tcW w:w="709" w:type="dxa"/>
            <w:tcBorders>
              <w:top w:val="single" w:sz="4" w:space="0" w:color="455560"/>
              <w:left w:val="nil"/>
              <w:bottom w:val="single" w:sz="4" w:space="0" w:color="244D7A"/>
              <w:right w:val="nil"/>
            </w:tcBorders>
            <w:hideMark/>
          </w:tcPr>
          <w:p w14:paraId="2B0F076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9</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244D7A"/>
              <w:right w:val="nil"/>
            </w:tcBorders>
            <w:hideMark/>
          </w:tcPr>
          <w:p w14:paraId="7A9CB1E4"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244D7A"/>
              <w:right w:val="nil"/>
            </w:tcBorders>
            <w:hideMark/>
          </w:tcPr>
          <w:p w14:paraId="68617B1A"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11.3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right w:val="nil"/>
            </w:tcBorders>
            <w:hideMark/>
          </w:tcPr>
          <w:p w14:paraId="7EBC7746"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.4%</w:t>
            </w:r>
          </w:p>
        </w:tc>
        <w:tc>
          <w:tcPr>
            <w:tcW w:w="851" w:type="dxa"/>
            <w:tcBorders>
              <w:top w:val="single" w:sz="4" w:space="0" w:color="455560"/>
              <w:left w:val="nil"/>
              <w:bottom w:val="single" w:sz="4" w:space="0" w:color="244D7A"/>
              <w:right w:val="nil"/>
            </w:tcBorders>
            <w:hideMark/>
          </w:tcPr>
          <w:p w14:paraId="1F38A8AD" w14:textId="77777777" w:rsidR="00870705" w:rsidRPr="004E431B" w:rsidRDefault="00870705" w:rsidP="00870705">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4.2</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tcBorders>
            <w:hideMark/>
          </w:tcPr>
          <w:p w14:paraId="5BABAC38" w14:textId="77777777"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0037A147" w14:textId="15693F27" w:rsidR="00870705" w:rsidRPr="001E179F" w:rsidRDefault="00870705"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3.9%</w:t>
            </w:r>
          </w:p>
        </w:tc>
        <w:tc>
          <w:tcPr>
            <w:tcW w:w="708" w:type="dxa"/>
            <w:tcBorders>
              <w:top w:val="single" w:sz="4" w:space="0" w:color="455560"/>
              <w:bottom w:val="single" w:sz="4" w:space="0" w:color="244D7A"/>
            </w:tcBorders>
            <w:hideMark/>
          </w:tcPr>
          <w:p w14:paraId="63FAC319" w14:textId="114CF071" w:rsidR="00870705" w:rsidRPr="004E431B" w:rsidRDefault="00870705" w:rsidP="00870705">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4FDB2B98" w14:textId="07804260" w:rsidR="00870705" w:rsidRPr="001E179F" w:rsidRDefault="0099161E" w:rsidP="00870705">
            <w:pPr>
              <w:spacing w:before="16" w:after="0" w:line="276" w:lineRule="auto"/>
              <w:rPr>
                <w:rFonts w:asciiTheme="minorHAnsi" w:hAnsiTheme="minorHAnsi" w:cstheme="minorHAnsi"/>
                <w:iCs/>
                <w:color w:val="auto"/>
                <w:sz w:val="18"/>
                <w:szCs w:val="18"/>
              </w:rPr>
            </w:pPr>
            <w:r w:rsidRPr="0099161E">
              <w:rPr>
                <w:rFonts w:cstheme="minorHAnsi"/>
                <w:iCs/>
                <w:sz w:val="18"/>
                <w:szCs w:val="18"/>
              </w:rPr>
              <w:t>6.2%</w:t>
            </w:r>
          </w:p>
        </w:tc>
      </w:tr>
      <w:tr w:rsidR="00492A9F" w:rsidRPr="004E431B" w14:paraId="3709D4AA" w14:textId="4D13E257" w:rsidTr="00492A9F">
        <w:trPr>
          <w:trHeight w:val="113"/>
        </w:trPr>
        <w:tc>
          <w:tcPr>
            <w:tcW w:w="993" w:type="dxa"/>
            <w:tcBorders>
              <w:top w:val="single" w:sz="4" w:space="0" w:color="244D7A"/>
              <w:left w:val="nil"/>
              <w:bottom w:val="single" w:sz="12" w:space="0" w:color="455560"/>
              <w:right w:val="nil"/>
            </w:tcBorders>
          </w:tcPr>
          <w:p w14:paraId="07F1A7C5" w14:textId="77777777" w:rsidR="007A5BDC" w:rsidRPr="00FA27FB" w:rsidRDefault="007A5BDC" w:rsidP="007A5BDC">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Volatility </w:t>
            </w:r>
          </w:p>
        </w:tc>
        <w:tc>
          <w:tcPr>
            <w:tcW w:w="567" w:type="dxa"/>
            <w:tcBorders>
              <w:top w:val="single" w:sz="4" w:space="0" w:color="244D7A"/>
              <w:left w:val="nil"/>
              <w:bottom w:val="single" w:sz="12" w:space="0" w:color="455560"/>
              <w:right w:val="nil"/>
            </w:tcBorders>
          </w:tcPr>
          <w:p w14:paraId="5CBDDEA5" w14:textId="6EE5BAAD" w:rsidR="007A5BDC" w:rsidRPr="00FA27FB" w:rsidRDefault="007A5BDC" w:rsidP="007A5BDC">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1</w:t>
            </w:r>
            <w:r w:rsidRPr="00FA27FB">
              <w:rPr>
                <w:rFonts w:asciiTheme="minorHAnsi" w:hAnsiTheme="minorHAnsi" w:cstheme="minorHAnsi"/>
                <w:b/>
                <w:bCs/>
                <w:iCs/>
                <w:color w:val="auto"/>
                <w:sz w:val="18"/>
                <w:szCs w:val="18"/>
              </w:rPr>
              <w:t xml:space="preserve"> yr</w:t>
            </w:r>
          </w:p>
        </w:tc>
        <w:tc>
          <w:tcPr>
            <w:tcW w:w="709" w:type="dxa"/>
            <w:tcBorders>
              <w:top w:val="single" w:sz="4" w:space="0" w:color="244D7A"/>
              <w:left w:val="nil"/>
              <w:bottom w:val="single" w:sz="12" w:space="0" w:color="455560"/>
              <w:right w:val="nil"/>
            </w:tcBorders>
          </w:tcPr>
          <w:p w14:paraId="7B1354FA"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0.3</w:t>
            </w:r>
            <w:r w:rsidRPr="00FA27FB">
              <w:rPr>
                <w:rFonts w:asciiTheme="minorHAnsi" w:hAnsiTheme="minorHAnsi" w:cstheme="minorHAnsi"/>
                <w:iCs/>
                <w:color w:val="auto"/>
                <w:sz w:val="18"/>
                <w:szCs w:val="18"/>
              </w:rPr>
              <w:t>%</w:t>
            </w:r>
          </w:p>
        </w:tc>
        <w:tc>
          <w:tcPr>
            <w:tcW w:w="851" w:type="dxa"/>
            <w:tcBorders>
              <w:top w:val="single" w:sz="4" w:space="0" w:color="244D7A"/>
              <w:left w:val="nil"/>
              <w:bottom w:val="single" w:sz="12" w:space="0" w:color="455560"/>
              <w:right w:val="nil"/>
            </w:tcBorders>
          </w:tcPr>
          <w:p w14:paraId="2FAFF062"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6.7%</w:t>
            </w:r>
          </w:p>
        </w:tc>
        <w:tc>
          <w:tcPr>
            <w:tcW w:w="850" w:type="dxa"/>
            <w:tcBorders>
              <w:top w:val="single" w:sz="4" w:space="0" w:color="244D7A"/>
              <w:left w:val="nil"/>
              <w:bottom w:val="single" w:sz="12" w:space="0" w:color="455560"/>
              <w:right w:val="nil"/>
            </w:tcBorders>
          </w:tcPr>
          <w:p w14:paraId="0BA5B94B"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5.5%</w:t>
            </w:r>
          </w:p>
        </w:tc>
        <w:tc>
          <w:tcPr>
            <w:tcW w:w="709" w:type="dxa"/>
            <w:tcBorders>
              <w:top w:val="single" w:sz="4" w:space="0" w:color="244D7A"/>
              <w:left w:val="nil"/>
              <w:bottom w:val="single" w:sz="12" w:space="0" w:color="455560"/>
              <w:right w:val="nil"/>
            </w:tcBorders>
          </w:tcPr>
          <w:p w14:paraId="6FC235FB"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16.3%</w:t>
            </w:r>
          </w:p>
        </w:tc>
        <w:tc>
          <w:tcPr>
            <w:tcW w:w="992" w:type="dxa"/>
            <w:tcBorders>
              <w:top w:val="single" w:sz="4" w:space="0" w:color="244D7A"/>
              <w:left w:val="nil"/>
              <w:bottom w:val="single" w:sz="12" w:space="0" w:color="455560"/>
              <w:right w:val="nil"/>
            </w:tcBorders>
          </w:tcPr>
          <w:p w14:paraId="089DBFD2"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18.6%</w:t>
            </w:r>
          </w:p>
        </w:tc>
        <w:tc>
          <w:tcPr>
            <w:tcW w:w="851" w:type="dxa"/>
            <w:tcBorders>
              <w:top w:val="single" w:sz="4" w:space="0" w:color="244D7A"/>
              <w:left w:val="nil"/>
              <w:bottom w:val="single" w:sz="12" w:space="0" w:color="455560"/>
              <w:right w:val="nil"/>
            </w:tcBorders>
          </w:tcPr>
          <w:p w14:paraId="26D4827A"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15.2%</w:t>
            </w:r>
          </w:p>
        </w:tc>
        <w:tc>
          <w:tcPr>
            <w:tcW w:w="850" w:type="dxa"/>
            <w:tcBorders>
              <w:top w:val="single" w:sz="4" w:space="0" w:color="244D7A"/>
              <w:left w:val="nil"/>
              <w:bottom w:val="single" w:sz="12" w:space="0" w:color="455560"/>
              <w:right w:val="nil"/>
            </w:tcBorders>
          </w:tcPr>
          <w:p w14:paraId="419E5C16"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p>
        </w:tc>
        <w:tc>
          <w:tcPr>
            <w:tcW w:w="851" w:type="dxa"/>
            <w:tcBorders>
              <w:top w:val="single" w:sz="4" w:space="0" w:color="244D7A"/>
              <w:left w:val="nil"/>
              <w:bottom w:val="single" w:sz="12" w:space="0" w:color="455560"/>
              <w:right w:val="nil"/>
            </w:tcBorders>
          </w:tcPr>
          <w:p w14:paraId="733F82B1" w14:textId="77777777" w:rsidR="007A5BDC" w:rsidRPr="00FA27FB" w:rsidRDefault="007A5BDC" w:rsidP="007A5BDC">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w:t>
            </w:r>
          </w:p>
        </w:tc>
        <w:tc>
          <w:tcPr>
            <w:tcW w:w="850" w:type="dxa"/>
            <w:tcBorders>
              <w:top w:val="single" w:sz="4" w:space="0" w:color="244D7A"/>
              <w:left w:val="nil"/>
              <w:bottom w:val="single" w:sz="12" w:space="0" w:color="455560"/>
            </w:tcBorders>
          </w:tcPr>
          <w:p w14:paraId="6685C42C" w14:textId="77777777" w:rsidR="007A5BDC" w:rsidRPr="00FA27FB" w:rsidRDefault="007A5BDC" w:rsidP="007A5BDC">
            <w:pPr>
              <w:spacing w:before="16" w:after="0" w:line="276" w:lineRule="auto"/>
              <w:rPr>
                <w:rFonts w:asciiTheme="minorHAnsi" w:hAnsiTheme="minorHAnsi" w:cstheme="minorHAnsi"/>
                <w:iCs/>
                <w:color w:val="auto"/>
                <w:sz w:val="18"/>
                <w:szCs w:val="18"/>
              </w:rPr>
            </w:pPr>
          </w:p>
        </w:tc>
        <w:tc>
          <w:tcPr>
            <w:tcW w:w="851" w:type="dxa"/>
            <w:tcBorders>
              <w:top w:val="single" w:sz="4" w:space="0" w:color="auto"/>
              <w:bottom w:val="single" w:sz="4" w:space="0" w:color="auto"/>
            </w:tcBorders>
          </w:tcPr>
          <w:p w14:paraId="625E2B3B" w14:textId="1E509267" w:rsidR="007A5BDC" w:rsidRPr="001E179F" w:rsidRDefault="000B4373" w:rsidP="007A5BDC">
            <w:pPr>
              <w:spacing w:before="16" w:after="0" w:line="276" w:lineRule="auto"/>
              <w:rPr>
                <w:rFonts w:asciiTheme="minorHAnsi" w:hAnsiTheme="minorHAnsi" w:cstheme="minorHAnsi"/>
                <w:iCs/>
                <w:color w:val="auto"/>
                <w:sz w:val="18"/>
                <w:szCs w:val="18"/>
              </w:rPr>
            </w:pPr>
            <w:r w:rsidRPr="0099161E">
              <w:rPr>
                <w:rFonts w:cstheme="minorHAnsi"/>
                <w:iCs/>
                <w:sz w:val="18"/>
                <w:szCs w:val="18"/>
              </w:rPr>
              <w:t>1.4%</w:t>
            </w:r>
          </w:p>
        </w:tc>
        <w:tc>
          <w:tcPr>
            <w:tcW w:w="708" w:type="dxa"/>
            <w:tcBorders>
              <w:top w:val="single" w:sz="4" w:space="0" w:color="244D7A"/>
              <w:bottom w:val="single" w:sz="12" w:space="0" w:color="455560"/>
            </w:tcBorders>
          </w:tcPr>
          <w:p w14:paraId="34C3C033" w14:textId="0203AF06" w:rsidR="007A5BDC" w:rsidRPr="00FA27FB" w:rsidRDefault="007A5BDC" w:rsidP="007A5BDC">
            <w:pPr>
              <w:spacing w:before="16" w:after="0" w:line="276" w:lineRule="auto"/>
              <w:rPr>
                <w:rFonts w:asciiTheme="minorHAnsi" w:hAnsiTheme="minorHAnsi" w:cstheme="minorHAnsi"/>
                <w:iCs/>
                <w:color w:val="auto"/>
                <w:sz w:val="18"/>
                <w:szCs w:val="18"/>
              </w:rPr>
            </w:pPr>
          </w:p>
        </w:tc>
        <w:tc>
          <w:tcPr>
            <w:tcW w:w="708" w:type="dxa"/>
            <w:tcBorders>
              <w:top w:val="single" w:sz="4" w:space="0" w:color="auto"/>
              <w:left w:val="nil"/>
              <w:bottom w:val="single" w:sz="4" w:space="0" w:color="auto"/>
              <w:right w:val="single" w:sz="4" w:space="0" w:color="auto"/>
            </w:tcBorders>
          </w:tcPr>
          <w:p w14:paraId="0EDEF654" w14:textId="77777777" w:rsidR="007A5BDC" w:rsidRPr="00FA27FB" w:rsidRDefault="007A5BDC" w:rsidP="007A5BDC">
            <w:pPr>
              <w:spacing w:before="16" w:after="0" w:line="276" w:lineRule="auto"/>
              <w:rPr>
                <w:rFonts w:cstheme="minorHAnsi"/>
                <w:iCs/>
                <w:sz w:val="18"/>
                <w:szCs w:val="18"/>
              </w:rPr>
            </w:pPr>
          </w:p>
        </w:tc>
      </w:tr>
    </w:tbl>
    <w:p w14:paraId="698F6DD4" w14:textId="77777777" w:rsidR="00DD4ED1" w:rsidRDefault="00DD4ED1" w:rsidP="009942DD"/>
    <w:p w14:paraId="5D0396F3" w14:textId="54B3E1FD" w:rsidR="009942DD" w:rsidRPr="005559B9" w:rsidRDefault="009942DD" w:rsidP="009942DD">
      <w:pPr>
        <w:rPr>
          <w:color w:val="4472C4" w:themeColor="accent5"/>
        </w:rPr>
      </w:pPr>
    </w:p>
    <w:p w14:paraId="2F6D64F2" w14:textId="77777777" w:rsidR="00053E27" w:rsidRDefault="00053E27" w:rsidP="00123448">
      <w:bookmarkStart w:id="91" w:name="_Toc194482926"/>
      <w:r w:rsidRPr="001366BA">
        <w:lastRenderedPageBreak/>
        <w:t xml:space="preserve">The ESS model is recalibrated monthly. </w:t>
      </w:r>
      <w:r>
        <w:t>The fund actuary uses the most recent calibration of the model (prior to the valuation date) to set financial assumptions for each funding valuation.</w:t>
      </w:r>
      <w:r w:rsidRPr="001366BA">
        <w:t xml:space="preserve"> </w:t>
      </w:r>
    </w:p>
    <w:p w14:paraId="4B555262" w14:textId="22BACAD9" w:rsidR="00554211" w:rsidRDefault="00F84AD1" w:rsidP="00554211">
      <w:pPr>
        <w:pStyle w:val="Heading3"/>
      </w:pPr>
      <w:bookmarkStart w:id="92" w:name="_Toc194482927"/>
      <w:bookmarkEnd w:id="91"/>
      <w:r>
        <w:t>E</w:t>
      </w:r>
      <w:r w:rsidR="00BD6F9A">
        <w:t>5</w:t>
      </w:r>
      <w:r w:rsidR="00554211">
        <w:t xml:space="preserve"> What demographic assumptions </w:t>
      </w:r>
      <w:r w:rsidR="00BD6F9A">
        <w:t>are used by the Fund</w:t>
      </w:r>
      <w:r w:rsidR="00554211">
        <w:t>?</w:t>
      </w:r>
      <w:bookmarkEnd w:id="92"/>
      <w:r w:rsidR="00554211">
        <w:t xml:space="preserve"> </w:t>
      </w:r>
    </w:p>
    <w:p w14:paraId="234664D3" w14:textId="617666C0" w:rsidR="00554211" w:rsidRDefault="00554211" w:rsidP="00554211">
      <w:r>
        <w:t xml:space="preserve">The </w:t>
      </w:r>
      <w:r w:rsidR="00AE3F19">
        <w:t>Fund</w:t>
      </w:r>
      <w:r>
        <w:t xml:space="preserve"> uses advice from Club Vita to set demographic assumptions, as well as analysis and judgement based on the </w:t>
      </w:r>
      <w:r w:rsidR="00AE3F19">
        <w:t>Fund</w:t>
      </w:r>
      <w:r>
        <w:t>’s experience.</w:t>
      </w:r>
      <w:r w:rsidR="00AE3F19">
        <w:t xml:space="preserve"> </w:t>
      </w:r>
    </w:p>
    <w:p w14:paraId="5E96C9B8" w14:textId="18B6564A" w:rsidR="00554211" w:rsidRDefault="00554211" w:rsidP="00554211">
      <w:r>
        <w:t>Demographic assumptions vary by type of member, so each employer’s own membership profile is reflected in the</w:t>
      </w:r>
      <w:r w:rsidR="004523E9">
        <w:t xml:space="preserve"> assumptions that apply to them</w:t>
      </w:r>
      <w:r>
        <w:t xml:space="preserve">. </w:t>
      </w:r>
    </w:p>
    <w:p w14:paraId="59C5743B" w14:textId="77777777" w:rsidR="00554211" w:rsidRDefault="00554211" w:rsidP="00123448">
      <w:pPr>
        <w:pStyle w:val="Heading4"/>
        <w:spacing w:before="240" w:after="0"/>
      </w:pPr>
      <w:r>
        <w:t xml:space="preserve">Life expectancy </w:t>
      </w:r>
    </w:p>
    <w:p w14:paraId="0708D3DA" w14:textId="1015923F" w:rsidR="00554211" w:rsidRDefault="00554211" w:rsidP="00554211">
      <w:r>
        <w:t xml:space="preserve">The longevity assumptions are a bespoke set of </w:t>
      </w:r>
      <w:r w:rsidR="007B7C3C">
        <w:t>‘</w:t>
      </w:r>
      <w:r>
        <w:t>VitaCurves</w:t>
      </w:r>
      <w:r w:rsidR="007B7C3C">
        <w:t>’</w:t>
      </w:r>
      <w:r>
        <w:t xml:space="preserve"> produced by detailed analysis and tailored to fit the </w:t>
      </w:r>
      <w:r w:rsidR="00AE3F19">
        <w:t>Fund</w:t>
      </w:r>
      <w:r>
        <w:t>’s membership profile.</w:t>
      </w:r>
      <w:r w:rsidR="00AE3F19">
        <w:t xml:space="preserve"> </w:t>
      </w:r>
    </w:p>
    <w:p w14:paraId="78B4128E" w14:textId="13F17750" w:rsidR="00554211" w:rsidRDefault="00554211" w:rsidP="00554211">
      <w:r>
        <w:t>Allowance has been made for future improvements to mortality in line with the 202</w:t>
      </w:r>
      <w:r w:rsidR="007A2B2A">
        <w:t>4</w:t>
      </w:r>
      <w:r>
        <w:t xml:space="preserve"> version of the continuous mortality </w:t>
      </w:r>
      <w:r w:rsidRPr="00CB1FA7">
        <w:t xml:space="preserve">investigation (CMI) published by the actuarial profession. </w:t>
      </w:r>
      <w:r w:rsidR="003F43E4" w:rsidRPr="00CB1FA7">
        <w:t xml:space="preserve">The core parameters of the model </w:t>
      </w:r>
      <w:r w:rsidR="00370886" w:rsidRPr="00CB1FA7">
        <w:t>apply;</w:t>
      </w:r>
      <w:r w:rsidR="003F43E4" w:rsidRPr="00CB1FA7">
        <w:t xml:space="preserve"> however, </w:t>
      </w:r>
      <w:r w:rsidR="003F43E4" w:rsidRPr="00123448">
        <w:t>t</w:t>
      </w:r>
      <w:r w:rsidRPr="00123448">
        <w:t>he starting point has been adjusted by +0.25% to reflect the difference between the population-wide data used in the CMI and LGPS membership. A long-term rate of mortality improvements of 1.5% pa applies.</w:t>
      </w:r>
      <w:r>
        <w:t xml:space="preserve"> </w:t>
      </w:r>
    </w:p>
    <w:p w14:paraId="05142201" w14:textId="2B336A47" w:rsidR="00554211" w:rsidRDefault="00554211" w:rsidP="00123448">
      <w:pPr>
        <w:pStyle w:val="Heading4"/>
        <w:spacing w:before="240" w:after="0"/>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554211" w:rsidRPr="00554211" w14:paraId="7D78F9A4" w14:textId="77777777" w:rsidTr="00344B11">
        <w:tc>
          <w:tcPr>
            <w:tcW w:w="3119" w:type="dxa"/>
            <w:tcBorders>
              <w:top w:val="nil"/>
            </w:tcBorders>
          </w:tcPr>
          <w:p w14:paraId="2354D110" w14:textId="77777777" w:rsidR="00554211" w:rsidRPr="00554211" w:rsidRDefault="00554211" w:rsidP="00F3401D">
            <w:pPr>
              <w:spacing w:after="120"/>
              <w:rPr>
                <w:iCs/>
              </w:rPr>
            </w:pPr>
            <w:r w:rsidRPr="00554211">
              <w:rPr>
                <w:iCs/>
              </w:rPr>
              <w:t>Retirement in normal health</w:t>
            </w:r>
          </w:p>
        </w:tc>
        <w:tc>
          <w:tcPr>
            <w:tcW w:w="6804" w:type="dxa"/>
            <w:tcBorders>
              <w:top w:val="nil"/>
            </w:tcBorders>
          </w:tcPr>
          <w:p w14:paraId="07E52995" w14:textId="77777777" w:rsidR="00554211" w:rsidRPr="00554211" w:rsidRDefault="00554211" w:rsidP="00F3401D">
            <w:pPr>
              <w:spacing w:after="120"/>
              <w:rPr>
                <w:iCs/>
              </w:rPr>
            </w:pPr>
            <w:r w:rsidRPr="00554211">
              <w:rPr>
                <w:iCs/>
              </w:rPr>
              <w:t xml:space="preserve">Members are assumed to retire at the earliest age possible with no pension reduction. </w:t>
            </w:r>
          </w:p>
        </w:tc>
      </w:tr>
      <w:tr w:rsidR="00554211" w:rsidRPr="00554211" w:rsidDel="001603D8" w14:paraId="480275E9" w14:textId="77777777" w:rsidTr="00344B11">
        <w:tc>
          <w:tcPr>
            <w:tcW w:w="3119" w:type="dxa"/>
            <w:tcBorders>
              <w:top w:val="single" w:sz="8" w:space="0" w:color="4472C4" w:themeColor="accent5"/>
            </w:tcBorders>
          </w:tcPr>
          <w:p w14:paraId="250DF17B" w14:textId="77777777" w:rsidR="00554211" w:rsidRPr="00554211" w:rsidRDefault="00554211" w:rsidP="00F3401D">
            <w:pPr>
              <w:spacing w:after="120"/>
              <w:rPr>
                <w:iCs/>
              </w:rPr>
            </w:pPr>
            <w:r w:rsidRPr="00554211">
              <w:rPr>
                <w:iCs/>
              </w:rPr>
              <w:t>Promotional salary increases</w:t>
            </w:r>
          </w:p>
        </w:tc>
        <w:tc>
          <w:tcPr>
            <w:tcW w:w="6804" w:type="dxa"/>
            <w:tcBorders>
              <w:top w:val="single" w:sz="8" w:space="0" w:color="4472C4" w:themeColor="accent5"/>
            </w:tcBorders>
          </w:tcPr>
          <w:p w14:paraId="22F5BA8D" w14:textId="77777777" w:rsidR="00554211" w:rsidRPr="00554211" w:rsidDel="001603D8" w:rsidRDefault="00554211" w:rsidP="00F3401D">
            <w:pPr>
              <w:spacing w:after="120"/>
              <w:rPr>
                <w:iCs/>
              </w:rPr>
            </w:pPr>
            <w:r w:rsidRPr="00554211">
              <w:rPr>
                <w:iCs/>
              </w:rPr>
              <w:t>Sample increases below</w:t>
            </w:r>
          </w:p>
        </w:tc>
      </w:tr>
      <w:tr w:rsidR="00554211" w:rsidRPr="00554211" w14:paraId="4581AE42" w14:textId="77777777" w:rsidTr="00344B11">
        <w:tc>
          <w:tcPr>
            <w:tcW w:w="3119" w:type="dxa"/>
            <w:tcBorders>
              <w:top w:val="single" w:sz="8" w:space="0" w:color="4472C4" w:themeColor="accent5"/>
            </w:tcBorders>
          </w:tcPr>
          <w:p w14:paraId="21723873" w14:textId="77777777" w:rsidR="00554211" w:rsidRPr="00554211" w:rsidRDefault="00554211" w:rsidP="00F3401D">
            <w:pPr>
              <w:spacing w:after="120"/>
              <w:rPr>
                <w:iCs/>
              </w:rPr>
            </w:pPr>
            <w:r w:rsidRPr="00554211">
              <w:rPr>
                <w:iCs/>
              </w:rPr>
              <w:t>Death in service</w:t>
            </w:r>
          </w:p>
        </w:tc>
        <w:tc>
          <w:tcPr>
            <w:tcW w:w="6804" w:type="dxa"/>
            <w:tcBorders>
              <w:top w:val="single" w:sz="8" w:space="0" w:color="4472C4" w:themeColor="accent5"/>
            </w:tcBorders>
          </w:tcPr>
          <w:p w14:paraId="35EC4E39" w14:textId="77777777" w:rsidR="00554211" w:rsidRPr="00554211" w:rsidRDefault="00554211" w:rsidP="00F3401D">
            <w:pPr>
              <w:spacing w:after="120"/>
              <w:rPr>
                <w:iCs/>
              </w:rPr>
            </w:pPr>
            <w:r w:rsidRPr="00554211">
              <w:rPr>
                <w:iCs/>
              </w:rPr>
              <w:t>Sample rates below</w:t>
            </w:r>
          </w:p>
        </w:tc>
      </w:tr>
      <w:tr w:rsidR="00554211" w:rsidRPr="00554211" w14:paraId="3FF3DF15" w14:textId="77777777" w:rsidTr="00344B11">
        <w:tc>
          <w:tcPr>
            <w:tcW w:w="3119" w:type="dxa"/>
            <w:tcBorders>
              <w:top w:val="single" w:sz="8" w:space="0" w:color="4472C4" w:themeColor="accent5"/>
            </w:tcBorders>
          </w:tcPr>
          <w:p w14:paraId="1B06F3BE" w14:textId="77777777" w:rsidR="00554211" w:rsidRPr="00554211" w:rsidRDefault="00554211" w:rsidP="00F3401D">
            <w:pPr>
              <w:spacing w:after="120"/>
              <w:rPr>
                <w:iCs/>
              </w:rPr>
            </w:pPr>
            <w:r w:rsidRPr="00554211">
              <w:rPr>
                <w:iCs/>
              </w:rPr>
              <w:t>Withdrawals</w:t>
            </w:r>
          </w:p>
        </w:tc>
        <w:tc>
          <w:tcPr>
            <w:tcW w:w="6804" w:type="dxa"/>
            <w:tcBorders>
              <w:top w:val="single" w:sz="8" w:space="0" w:color="4472C4" w:themeColor="accent5"/>
            </w:tcBorders>
          </w:tcPr>
          <w:p w14:paraId="74C18AB9" w14:textId="77777777" w:rsidR="00554211" w:rsidRPr="00554211" w:rsidRDefault="00554211" w:rsidP="00F3401D">
            <w:pPr>
              <w:spacing w:after="120"/>
              <w:rPr>
                <w:iCs/>
              </w:rPr>
            </w:pPr>
            <w:r w:rsidRPr="00554211">
              <w:rPr>
                <w:iCs/>
              </w:rPr>
              <w:t>Sample rates below</w:t>
            </w:r>
          </w:p>
        </w:tc>
      </w:tr>
      <w:tr w:rsidR="00554211" w:rsidRPr="00554211" w14:paraId="7E80E695" w14:textId="77777777" w:rsidTr="00344B11">
        <w:tc>
          <w:tcPr>
            <w:tcW w:w="3119" w:type="dxa"/>
            <w:tcBorders>
              <w:top w:val="single" w:sz="8" w:space="0" w:color="4472C4" w:themeColor="accent5"/>
            </w:tcBorders>
          </w:tcPr>
          <w:p w14:paraId="09C1F67C" w14:textId="77777777" w:rsidR="00554211" w:rsidRPr="00554211" w:rsidRDefault="00554211" w:rsidP="00F3401D">
            <w:pPr>
              <w:spacing w:after="120"/>
              <w:rPr>
                <w:iCs/>
              </w:rPr>
            </w:pPr>
            <w:r w:rsidRPr="00554211">
              <w:rPr>
                <w:iCs/>
              </w:rPr>
              <w:t>Retirement in ill health</w:t>
            </w:r>
          </w:p>
        </w:tc>
        <w:tc>
          <w:tcPr>
            <w:tcW w:w="6804" w:type="dxa"/>
            <w:tcBorders>
              <w:top w:val="single" w:sz="8" w:space="0" w:color="4472C4" w:themeColor="accent5"/>
            </w:tcBorders>
          </w:tcPr>
          <w:p w14:paraId="71199BF4" w14:textId="77777777" w:rsidR="00554211" w:rsidRPr="00554211" w:rsidRDefault="00554211" w:rsidP="00F3401D">
            <w:pPr>
              <w:spacing w:after="120"/>
              <w:rPr>
                <w:iCs/>
              </w:rPr>
            </w:pPr>
            <w:r w:rsidRPr="00554211">
              <w:rPr>
                <w:iCs/>
              </w:rPr>
              <w:t>Sample rates below</w:t>
            </w:r>
          </w:p>
        </w:tc>
      </w:tr>
      <w:tr w:rsidR="00554211" w:rsidRPr="00554211" w14:paraId="33B7D6D5" w14:textId="77777777" w:rsidTr="00344B11">
        <w:tc>
          <w:tcPr>
            <w:tcW w:w="3119" w:type="dxa"/>
            <w:tcBorders>
              <w:top w:val="single" w:sz="8" w:space="0" w:color="4472C4" w:themeColor="accent5"/>
            </w:tcBorders>
          </w:tcPr>
          <w:p w14:paraId="321AE794" w14:textId="77777777" w:rsidR="00554211" w:rsidRPr="00554211" w:rsidRDefault="00554211" w:rsidP="00F3401D">
            <w:pPr>
              <w:spacing w:after="120"/>
              <w:rPr>
                <w:iCs/>
              </w:rPr>
            </w:pPr>
            <w:r w:rsidRPr="00554211">
              <w:rPr>
                <w:iCs/>
              </w:rPr>
              <w:t>Family details</w:t>
            </w:r>
          </w:p>
        </w:tc>
        <w:tc>
          <w:tcPr>
            <w:tcW w:w="6804" w:type="dxa"/>
            <w:tcBorders>
              <w:top w:val="single" w:sz="8" w:space="0" w:color="4472C4" w:themeColor="accent5"/>
            </w:tcBorders>
          </w:tcPr>
          <w:p w14:paraId="24D81A79" w14:textId="27B89C45" w:rsidR="001C2EAB" w:rsidRPr="00AA334C" w:rsidRDefault="00554211" w:rsidP="00F3401D">
            <w:pPr>
              <w:spacing w:after="120"/>
              <w:rPr>
                <w:iCs/>
              </w:rPr>
            </w:pPr>
            <w:r w:rsidRPr="00AA334C">
              <w:rPr>
                <w:iCs/>
              </w:rPr>
              <w:t>A varying proportion of members are assumed to have a dependant partner at retirement or on earlier death.</w:t>
            </w:r>
            <w:r w:rsidR="004E5CA7">
              <w:rPr>
                <w:iCs/>
              </w:rPr>
              <w:t xml:space="preserve"> A</w:t>
            </w:r>
            <w:r w:rsidR="004E5CA7" w:rsidRPr="004E5CA7">
              <w:rPr>
                <w:iCs/>
              </w:rPr>
              <w:t xml:space="preserve">t age 65 this is assumed to be 55% for males and 54% for females). </w:t>
            </w:r>
          </w:p>
          <w:p w14:paraId="2D6B0332" w14:textId="77777777" w:rsidR="00AA334C" w:rsidRPr="00123448" w:rsidRDefault="00AA334C" w:rsidP="00AA334C">
            <w:r w:rsidRPr="00123448">
              <w:t xml:space="preserve">Dependant of a male is 3.5 years younger than him </w:t>
            </w:r>
          </w:p>
          <w:p w14:paraId="4D32DF93" w14:textId="28904C38" w:rsidR="00554211" w:rsidRPr="00AA334C" w:rsidRDefault="00AA334C" w:rsidP="00AA334C">
            <w:pPr>
              <w:spacing w:after="120"/>
              <w:rPr>
                <w:iCs/>
              </w:rPr>
            </w:pPr>
            <w:r w:rsidRPr="00123448">
              <w:t>Dependent of a female is 0.6 years older than her</w:t>
            </w:r>
          </w:p>
        </w:tc>
      </w:tr>
      <w:tr w:rsidR="00554211" w:rsidRPr="00554211" w14:paraId="3BD30C84" w14:textId="77777777" w:rsidTr="00344B11">
        <w:tc>
          <w:tcPr>
            <w:tcW w:w="3119" w:type="dxa"/>
            <w:tcBorders>
              <w:top w:val="single" w:sz="8" w:space="0" w:color="4472C4" w:themeColor="accent5"/>
            </w:tcBorders>
          </w:tcPr>
          <w:p w14:paraId="2EB96759" w14:textId="77777777" w:rsidR="00554211" w:rsidRPr="00554211" w:rsidRDefault="00554211" w:rsidP="00F3401D">
            <w:pPr>
              <w:spacing w:after="120"/>
              <w:rPr>
                <w:iCs/>
              </w:rPr>
            </w:pPr>
            <w:r w:rsidRPr="00554211">
              <w:rPr>
                <w:iCs/>
              </w:rPr>
              <w:t>Commutation</w:t>
            </w:r>
          </w:p>
        </w:tc>
        <w:tc>
          <w:tcPr>
            <w:tcW w:w="6804" w:type="dxa"/>
            <w:tcBorders>
              <w:top w:val="single" w:sz="8" w:space="0" w:color="4472C4" w:themeColor="accent5"/>
            </w:tcBorders>
          </w:tcPr>
          <w:p w14:paraId="19BE7D21" w14:textId="3C5EE2E1" w:rsidR="00554211" w:rsidRPr="00AA334C" w:rsidRDefault="00AA334C" w:rsidP="00F3401D">
            <w:pPr>
              <w:spacing w:after="120"/>
              <w:rPr>
                <w:iCs/>
              </w:rPr>
            </w:pPr>
            <w:r w:rsidRPr="00123448">
              <w:rPr>
                <w:iCs/>
              </w:rPr>
              <w:t>6</w:t>
            </w:r>
            <w:r w:rsidR="00554211" w:rsidRPr="00123448">
              <w:rPr>
                <w:iCs/>
              </w:rPr>
              <w:t>0%</w:t>
            </w:r>
            <w:r w:rsidR="00554211" w:rsidRPr="00AA334C">
              <w:rPr>
                <w:iCs/>
              </w:rPr>
              <w:t xml:space="preserve"> of maximum tax-free cash </w:t>
            </w:r>
          </w:p>
        </w:tc>
      </w:tr>
      <w:tr w:rsidR="00554211" w:rsidRPr="00554211" w14:paraId="0EEE56A8" w14:textId="77777777" w:rsidTr="00344B11">
        <w:tc>
          <w:tcPr>
            <w:tcW w:w="3119" w:type="dxa"/>
            <w:tcBorders>
              <w:top w:val="single" w:sz="8" w:space="0" w:color="4472C4" w:themeColor="accent5"/>
            </w:tcBorders>
          </w:tcPr>
          <w:p w14:paraId="2A940044" w14:textId="77777777" w:rsidR="00554211" w:rsidRPr="00554211" w:rsidRDefault="00554211" w:rsidP="00F3401D">
            <w:pPr>
              <w:spacing w:after="120"/>
              <w:rPr>
                <w:iCs/>
              </w:rPr>
            </w:pPr>
            <w:r w:rsidRPr="00554211">
              <w:rPr>
                <w:iCs/>
              </w:rPr>
              <w:t>50:50 option</w:t>
            </w:r>
          </w:p>
        </w:tc>
        <w:tc>
          <w:tcPr>
            <w:tcW w:w="6804" w:type="dxa"/>
            <w:tcBorders>
              <w:top w:val="single" w:sz="8" w:space="0" w:color="4472C4" w:themeColor="accent5"/>
            </w:tcBorders>
          </w:tcPr>
          <w:p w14:paraId="0ADB0227" w14:textId="56A6881A" w:rsidR="00554211" w:rsidRPr="00AA334C" w:rsidRDefault="00554211" w:rsidP="00F3401D">
            <w:pPr>
              <w:spacing w:after="120"/>
              <w:rPr>
                <w:iCs/>
              </w:rPr>
            </w:pPr>
            <w:r w:rsidRPr="00123448">
              <w:rPr>
                <w:iCs/>
              </w:rPr>
              <w:t>0%</w:t>
            </w:r>
            <w:r w:rsidRPr="00AA334C">
              <w:rPr>
                <w:iCs/>
              </w:rPr>
              <w:t xml:space="preserve"> of members will choose the 50:50 option.</w:t>
            </w:r>
          </w:p>
        </w:tc>
      </w:tr>
    </w:tbl>
    <w:p w14:paraId="1B420466" w14:textId="77777777" w:rsidR="004E5CA7" w:rsidRDefault="004E5CA7" w:rsidP="00F3401D">
      <w:pPr>
        <w:pStyle w:val="Heading4"/>
        <w:spacing w:before="240" w:after="0" w:line="240" w:lineRule="auto"/>
      </w:pPr>
    </w:p>
    <w:p w14:paraId="4B309401" w14:textId="77777777" w:rsidR="00B07F02" w:rsidRDefault="00B07F02" w:rsidP="00B07F02"/>
    <w:p w14:paraId="7D3D68E5" w14:textId="77777777" w:rsidR="00B07F02" w:rsidRDefault="00B07F02" w:rsidP="00B07F02"/>
    <w:p w14:paraId="3DD947FE" w14:textId="77777777" w:rsidR="00B07F02" w:rsidRDefault="00B07F02" w:rsidP="00B07F02"/>
    <w:p w14:paraId="410C4D57" w14:textId="77777777" w:rsidR="00036832" w:rsidRDefault="00036832" w:rsidP="00B07F02"/>
    <w:p w14:paraId="121D44E8" w14:textId="77777777" w:rsidR="00036832" w:rsidRDefault="00036832" w:rsidP="00B07F02"/>
    <w:p w14:paraId="067B012F" w14:textId="77777777" w:rsidR="00036832" w:rsidRDefault="00036832" w:rsidP="00B07F02"/>
    <w:p w14:paraId="5E2CA7FB" w14:textId="77777777" w:rsidR="00036832" w:rsidRDefault="00036832" w:rsidP="00B07F02"/>
    <w:p w14:paraId="3E43C81E" w14:textId="55438B40" w:rsidR="00344B11" w:rsidRPr="00F3401D" w:rsidRDefault="00344B11" w:rsidP="00F3401D">
      <w:pPr>
        <w:pStyle w:val="Heading4"/>
        <w:spacing w:before="240" w:after="0" w:line="240" w:lineRule="auto"/>
        <w:rPr>
          <w:color w:val="000000" w:themeColor="text1"/>
        </w:rPr>
      </w:pPr>
      <w:r w:rsidRPr="00344B11">
        <w:t>Males</w:t>
      </w:r>
      <w:r>
        <w:rPr>
          <w:b w:val="0"/>
          <w:bCs w:val="0"/>
        </w:rPr>
        <w:tab/>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2"/>
        <w:tblW w:w="974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56"/>
        <w:gridCol w:w="860"/>
        <w:gridCol w:w="1388"/>
        <w:gridCol w:w="1383"/>
        <w:gridCol w:w="1592"/>
        <w:gridCol w:w="851"/>
        <w:gridCol w:w="850"/>
        <w:gridCol w:w="851"/>
        <w:gridCol w:w="810"/>
      </w:tblGrid>
      <w:tr w:rsidR="00E7783D" w:rsidRPr="00344B11" w14:paraId="29FF5907" w14:textId="77777777" w:rsidTr="00C636BE">
        <w:tc>
          <w:tcPr>
            <w:tcW w:w="1156" w:type="dxa"/>
            <w:tcBorders>
              <w:top w:val="nil"/>
              <w:bottom w:val="nil"/>
              <w:right w:val="nil"/>
            </w:tcBorders>
            <w:shd w:val="clear" w:color="auto" w:fill="244D7A"/>
          </w:tcPr>
          <w:p w14:paraId="7C9820D6" w14:textId="0783B2C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bookmarkStart w:id="93" w:name="_Hlk114229103"/>
            <w:r w:rsidRPr="00344B11">
              <w:rPr>
                <w:rFonts w:asciiTheme="minorHAnsi" w:hAnsiTheme="minorHAnsi" w:cstheme="minorHAnsi"/>
                <w:b/>
                <w:bCs/>
                <w:iCs/>
                <w:color w:val="FFFFFF" w:themeColor="background1"/>
                <w:sz w:val="22"/>
                <w:szCs w:val="22"/>
              </w:rPr>
              <w:lastRenderedPageBreak/>
              <w:t>Age</w:t>
            </w:r>
          </w:p>
        </w:tc>
        <w:tc>
          <w:tcPr>
            <w:tcW w:w="860" w:type="dxa"/>
            <w:tcBorders>
              <w:top w:val="nil"/>
              <w:left w:val="nil"/>
              <w:bottom w:val="nil"/>
              <w:right w:val="nil"/>
            </w:tcBorders>
            <w:shd w:val="clear" w:color="auto" w:fill="244D7A"/>
          </w:tcPr>
          <w:p w14:paraId="7330B28B" w14:textId="46C60214"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Salary scale</w:t>
            </w:r>
          </w:p>
        </w:tc>
        <w:tc>
          <w:tcPr>
            <w:tcW w:w="1388" w:type="dxa"/>
            <w:tcBorders>
              <w:top w:val="nil"/>
              <w:left w:val="nil"/>
              <w:bottom w:val="nil"/>
              <w:right w:val="nil"/>
            </w:tcBorders>
            <w:shd w:val="clear" w:color="auto" w:fill="244D7A"/>
          </w:tcPr>
          <w:p w14:paraId="2E3E61A1" w14:textId="396D1F8C"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341CF4" w14:textId="534DDB5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592" w:type="dxa"/>
            <w:tcBorders>
              <w:top w:val="nil"/>
              <w:left w:val="nil"/>
              <w:bottom w:val="nil"/>
              <w:right w:val="nil"/>
            </w:tcBorders>
            <w:shd w:val="clear" w:color="auto" w:fill="244D7A"/>
          </w:tcPr>
          <w:p w14:paraId="2C4790B6" w14:textId="0EC0225D"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51" w:type="dxa"/>
            <w:tcBorders>
              <w:top w:val="nil"/>
              <w:left w:val="nil"/>
              <w:bottom w:val="nil"/>
              <w:right w:val="nil"/>
            </w:tcBorders>
            <w:shd w:val="clear" w:color="auto" w:fill="244D7A"/>
          </w:tcPr>
          <w:p w14:paraId="50876850" w14:textId="434B4399"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50" w:type="dxa"/>
            <w:tcBorders>
              <w:top w:val="nil"/>
              <w:left w:val="nil"/>
              <w:bottom w:val="nil"/>
              <w:right w:val="nil"/>
            </w:tcBorders>
            <w:shd w:val="clear" w:color="auto" w:fill="244D7A"/>
          </w:tcPr>
          <w:p w14:paraId="75B9A8DD" w14:textId="46DA646B"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51" w:type="dxa"/>
            <w:tcBorders>
              <w:top w:val="nil"/>
              <w:left w:val="nil"/>
              <w:bottom w:val="nil"/>
              <w:right w:val="nil"/>
            </w:tcBorders>
            <w:shd w:val="clear" w:color="auto" w:fill="244D7A"/>
          </w:tcPr>
          <w:p w14:paraId="6E902463" w14:textId="3D74D9F5"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0" w:type="dxa"/>
            <w:tcBorders>
              <w:top w:val="nil"/>
              <w:left w:val="nil"/>
              <w:bottom w:val="nil"/>
            </w:tcBorders>
            <w:shd w:val="clear" w:color="auto" w:fill="244D7A"/>
          </w:tcPr>
          <w:p w14:paraId="2AD0DEC8" w14:textId="66BEB6BA"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bookmarkEnd w:id="93"/>
      <w:tr w:rsidR="00A237C4" w:rsidRPr="00A237C4" w14:paraId="19F63D59" w14:textId="77777777" w:rsidTr="00C636BE">
        <w:tc>
          <w:tcPr>
            <w:tcW w:w="1156" w:type="dxa"/>
            <w:tcBorders>
              <w:top w:val="nil"/>
              <w:bottom w:val="single" w:sz="8" w:space="0" w:color="455560"/>
              <w:right w:val="nil"/>
            </w:tcBorders>
            <w:vAlign w:val="center"/>
          </w:tcPr>
          <w:p w14:paraId="44072820" w14:textId="77777777" w:rsidR="00A237C4" w:rsidRPr="00C636BE" w:rsidRDefault="00A237C4" w:rsidP="00A237C4">
            <w:pPr>
              <w:spacing w:beforeLines="20" w:before="48" w:afterLines="20" w:after="48" w:line="220" w:lineRule="atLeast"/>
              <w:jc w:val="center"/>
              <w:rPr>
                <w:rFonts w:asciiTheme="minorHAnsi" w:hAnsiTheme="minorHAnsi" w:cstheme="minorHAnsi"/>
                <w:iCs/>
              </w:rPr>
            </w:pPr>
            <w:r w:rsidRPr="00C636BE">
              <w:rPr>
                <w:rFonts w:cstheme="minorHAnsi"/>
                <w:iCs/>
                <w:kern w:val="24"/>
              </w:rPr>
              <w:t>20</w:t>
            </w:r>
          </w:p>
        </w:tc>
        <w:tc>
          <w:tcPr>
            <w:tcW w:w="860" w:type="dxa"/>
            <w:tcBorders>
              <w:top w:val="nil"/>
              <w:left w:val="nil"/>
              <w:bottom w:val="single" w:sz="8" w:space="0" w:color="455560"/>
              <w:right w:val="nil"/>
            </w:tcBorders>
            <w:vAlign w:val="center"/>
          </w:tcPr>
          <w:p w14:paraId="619B3182" w14:textId="429540D9" w:rsidR="00A237C4" w:rsidRPr="00E0469C" w:rsidRDefault="00A237C4" w:rsidP="00A237C4">
            <w:pPr>
              <w:spacing w:beforeLines="20" w:before="48" w:afterLines="20" w:after="48" w:line="220" w:lineRule="atLeast"/>
              <w:jc w:val="center"/>
              <w:rPr>
                <w:rFonts w:asciiTheme="minorHAnsi" w:hAnsiTheme="minorHAnsi" w:cstheme="minorHAnsi"/>
                <w:iCs/>
                <w:kern w:val="24"/>
              </w:rPr>
            </w:pPr>
            <w:r w:rsidRPr="006F77E5">
              <w:rPr>
                <w:rFonts w:asciiTheme="minorHAnsi" w:hAnsiTheme="minorHAnsi" w:cstheme="minorHAnsi"/>
                <w:iCs/>
                <w:kern w:val="24"/>
              </w:rPr>
              <w:t>105</w:t>
            </w:r>
            <w:r w:rsidRPr="006F77E5">
              <w:rPr>
                <w:rFonts w:asciiTheme="minorHAnsi" w:hAnsiTheme="minorHAnsi" w:cstheme="minorHAnsi"/>
                <w:iCs/>
                <w:color w:val="auto"/>
                <w:kern w:val="24"/>
              </w:rPr>
              <w:t>​</w:t>
            </w:r>
          </w:p>
        </w:tc>
        <w:tc>
          <w:tcPr>
            <w:tcW w:w="1388" w:type="dxa"/>
            <w:tcBorders>
              <w:top w:val="nil"/>
              <w:left w:val="nil"/>
              <w:bottom w:val="single" w:sz="8" w:space="0" w:color="455560"/>
              <w:right w:val="nil"/>
            </w:tcBorders>
            <w:vAlign w:val="center"/>
          </w:tcPr>
          <w:p w14:paraId="19C738EC" w14:textId="72E5A7A9" w:rsidR="00A237C4" w:rsidRPr="00585DAF" w:rsidRDefault="00A237C4" w:rsidP="00A237C4">
            <w:pPr>
              <w:spacing w:beforeLines="20" w:before="48" w:afterLines="20" w:after="48" w:line="220" w:lineRule="atLeast"/>
              <w:jc w:val="center"/>
              <w:rPr>
                <w:rFonts w:asciiTheme="minorHAnsi" w:hAnsiTheme="minorHAnsi" w:cstheme="minorHAnsi"/>
                <w:iCs/>
                <w:kern w:val="24"/>
              </w:rPr>
            </w:pPr>
            <w:r w:rsidRPr="00E0469C">
              <w:rPr>
                <w:rFonts w:asciiTheme="minorHAnsi" w:hAnsiTheme="minorHAnsi" w:cstheme="minorHAnsi"/>
                <w:iCs/>
                <w:kern w:val="24"/>
              </w:rPr>
              <w:t>0.17</w:t>
            </w:r>
            <w:r w:rsidRPr="00EF4BF3">
              <w:rPr>
                <w:rFonts w:asciiTheme="minorHAnsi" w:hAnsiTheme="minorHAnsi" w:cstheme="minorHAnsi"/>
                <w:iCs/>
                <w:color w:val="auto"/>
                <w:kern w:val="24"/>
              </w:rPr>
              <w:t>​</w:t>
            </w:r>
          </w:p>
        </w:tc>
        <w:tc>
          <w:tcPr>
            <w:tcW w:w="1383" w:type="dxa"/>
            <w:tcBorders>
              <w:top w:val="nil"/>
              <w:left w:val="nil"/>
              <w:bottom w:val="single" w:sz="8" w:space="0" w:color="455560"/>
              <w:right w:val="nil"/>
            </w:tcBorders>
            <w:vAlign w:val="center"/>
          </w:tcPr>
          <w:p w14:paraId="0ADF7068" w14:textId="6F5DEEA2" w:rsidR="00A237C4" w:rsidRPr="006F77E5" w:rsidRDefault="00A237C4" w:rsidP="00A237C4">
            <w:pPr>
              <w:spacing w:beforeLines="20" w:before="48" w:afterLines="20" w:after="48" w:line="220" w:lineRule="atLeast"/>
              <w:jc w:val="center"/>
              <w:rPr>
                <w:rFonts w:asciiTheme="minorHAnsi" w:hAnsiTheme="minorHAnsi" w:cstheme="minorHAnsi"/>
                <w:iCs/>
                <w:kern w:val="24"/>
              </w:rPr>
            </w:pPr>
            <w:r w:rsidRPr="00127C65">
              <w:rPr>
                <w:rFonts w:asciiTheme="minorHAnsi" w:eastAsiaTheme="minorHAnsi" w:hAnsiTheme="minorHAnsi" w:cstheme="minorHAnsi"/>
                <w:iCs/>
                <w:kern w:val="24"/>
                <w:sz w:val="22"/>
                <w:szCs w:val="22"/>
              </w:rPr>
              <w:t>355.79</w:t>
            </w:r>
          </w:p>
        </w:tc>
        <w:tc>
          <w:tcPr>
            <w:tcW w:w="1592" w:type="dxa"/>
            <w:tcBorders>
              <w:top w:val="nil"/>
              <w:left w:val="nil"/>
              <w:bottom w:val="single" w:sz="8" w:space="0" w:color="455560"/>
              <w:right w:val="nil"/>
            </w:tcBorders>
            <w:vAlign w:val="center"/>
          </w:tcPr>
          <w:p w14:paraId="38E801E0" w14:textId="0198C0F4"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88535B">
              <w:rPr>
                <w:rFonts w:asciiTheme="minorHAnsi" w:hAnsiTheme="minorHAnsi" w:cstheme="minorHAnsi"/>
                <w:iCs/>
                <w:kern w:val="24"/>
              </w:rPr>
              <w:t>609.76</w:t>
            </w:r>
            <w:r w:rsidRPr="0088535B">
              <w:rPr>
                <w:rFonts w:asciiTheme="minorHAnsi" w:hAnsiTheme="minorHAnsi" w:cstheme="minorHAnsi"/>
                <w:iCs/>
                <w:color w:val="auto"/>
                <w:kern w:val="24"/>
              </w:rPr>
              <w:t>​</w:t>
            </w:r>
          </w:p>
        </w:tc>
        <w:tc>
          <w:tcPr>
            <w:tcW w:w="851" w:type="dxa"/>
            <w:tcBorders>
              <w:top w:val="nil"/>
              <w:left w:val="nil"/>
              <w:bottom w:val="single" w:sz="8" w:space="0" w:color="455560"/>
              <w:right w:val="nil"/>
            </w:tcBorders>
            <w:vAlign w:val="center"/>
          </w:tcPr>
          <w:p w14:paraId="379CBBC7" w14:textId="5C2F0D1B"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C636BE">
              <w:rPr>
                <w:rFonts w:asciiTheme="minorHAnsi" w:hAnsiTheme="minorHAnsi" w:cstheme="minorHAnsi"/>
                <w:iCs/>
                <w:kern w:val="24"/>
              </w:rPr>
              <w:t>0.00</w:t>
            </w:r>
            <w:r w:rsidRPr="00C13DC2">
              <w:rPr>
                <w:rFonts w:asciiTheme="minorHAnsi" w:hAnsiTheme="minorHAnsi" w:cstheme="minorHAnsi"/>
                <w:iCs/>
                <w:color w:val="auto"/>
                <w:kern w:val="24"/>
              </w:rPr>
              <w:t>​</w:t>
            </w:r>
          </w:p>
        </w:tc>
        <w:tc>
          <w:tcPr>
            <w:tcW w:w="850" w:type="dxa"/>
            <w:tcBorders>
              <w:top w:val="nil"/>
              <w:left w:val="nil"/>
              <w:bottom w:val="single" w:sz="8" w:space="0" w:color="455560"/>
              <w:right w:val="nil"/>
            </w:tcBorders>
            <w:vAlign w:val="center"/>
          </w:tcPr>
          <w:p w14:paraId="12DC8D20" w14:textId="1416B50E"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396235">
              <w:rPr>
                <w:rFonts w:asciiTheme="minorHAnsi" w:hAnsiTheme="minorHAnsi" w:cstheme="minorHAnsi"/>
                <w:iCs/>
                <w:kern w:val="24"/>
              </w:rPr>
              <w:t>0.00</w:t>
            </w:r>
            <w:r w:rsidRPr="00EF5512">
              <w:rPr>
                <w:rFonts w:asciiTheme="minorHAnsi" w:hAnsiTheme="minorHAnsi" w:cstheme="minorHAnsi"/>
                <w:iCs/>
                <w:color w:val="auto"/>
                <w:kern w:val="24"/>
              </w:rPr>
              <w:t>​</w:t>
            </w:r>
          </w:p>
        </w:tc>
        <w:tc>
          <w:tcPr>
            <w:tcW w:w="851" w:type="dxa"/>
            <w:tcBorders>
              <w:top w:val="nil"/>
              <w:left w:val="nil"/>
              <w:bottom w:val="single" w:sz="8" w:space="0" w:color="455560"/>
              <w:right w:val="nil"/>
            </w:tcBorders>
            <w:vAlign w:val="center"/>
          </w:tcPr>
          <w:p w14:paraId="321EB135" w14:textId="462C9CC6"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EF5512">
              <w:rPr>
                <w:rFonts w:asciiTheme="minorHAnsi" w:hAnsiTheme="minorHAnsi" w:cstheme="minorHAnsi"/>
                <w:iCs/>
                <w:kern w:val="24"/>
              </w:rPr>
              <w:t>0.00</w:t>
            </w:r>
            <w:r w:rsidRPr="003A47AD">
              <w:rPr>
                <w:rFonts w:asciiTheme="minorHAnsi" w:hAnsiTheme="minorHAnsi" w:cstheme="minorHAnsi"/>
                <w:iCs/>
                <w:color w:val="auto"/>
                <w:kern w:val="24"/>
              </w:rPr>
              <w:t>​</w:t>
            </w:r>
          </w:p>
        </w:tc>
        <w:tc>
          <w:tcPr>
            <w:tcW w:w="810" w:type="dxa"/>
            <w:tcBorders>
              <w:top w:val="nil"/>
              <w:left w:val="nil"/>
              <w:bottom w:val="single" w:sz="8" w:space="0" w:color="455560"/>
            </w:tcBorders>
            <w:vAlign w:val="center"/>
          </w:tcPr>
          <w:p w14:paraId="5E811B03" w14:textId="388724BB"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8A16AA">
              <w:rPr>
                <w:rFonts w:asciiTheme="minorHAnsi" w:hAnsiTheme="minorHAnsi" w:cstheme="minorHAnsi"/>
                <w:iCs/>
                <w:kern w:val="24"/>
              </w:rPr>
              <w:t>0.00</w:t>
            </w:r>
            <w:r w:rsidRPr="008A16AA">
              <w:rPr>
                <w:rFonts w:asciiTheme="minorHAnsi" w:hAnsiTheme="minorHAnsi" w:cstheme="minorHAnsi"/>
                <w:iCs/>
                <w:color w:val="auto"/>
                <w:kern w:val="24"/>
              </w:rPr>
              <w:t>​</w:t>
            </w:r>
          </w:p>
        </w:tc>
      </w:tr>
      <w:tr w:rsidR="00A237C4" w:rsidRPr="00A237C4" w14:paraId="21DCBA32" w14:textId="77777777" w:rsidTr="00C636BE">
        <w:tc>
          <w:tcPr>
            <w:tcW w:w="1156" w:type="dxa"/>
            <w:tcBorders>
              <w:top w:val="single" w:sz="8" w:space="0" w:color="455560"/>
              <w:bottom w:val="single" w:sz="8" w:space="0" w:color="455560"/>
              <w:right w:val="nil"/>
            </w:tcBorders>
            <w:vAlign w:val="center"/>
          </w:tcPr>
          <w:p w14:paraId="169C5175" w14:textId="77777777" w:rsidR="00A237C4" w:rsidRPr="00162C13" w:rsidRDefault="00A237C4" w:rsidP="00A237C4">
            <w:pPr>
              <w:spacing w:beforeLines="20" w:before="48" w:afterLines="20" w:after="48" w:line="220" w:lineRule="atLeast"/>
              <w:jc w:val="center"/>
              <w:rPr>
                <w:rFonts w:asciiTheme="minorHAnsi" w:hAnsiTheme="minorHAnsi" w:cstheme="minorHAnsi"/>
                <w:iCs/>
              </w:rPr>
            </w:pPr>
            <w:r w:rsidRPr="00D4525E">
              <w:rPr>
                <w:rFonts w:cstheme="minorHAnsi"/>
                <w:iCs/>
                <w:kern w:val="24"/>
              </w:rPr>
              <w:t>25</w:t>
            </w:r>
          </w:p>
        </w:tc>
        <w:tc>
          <w:tcPr>
            <w:tcW w:w="860" w:type="dxa"/>
            <w:tcBorders>
              <w:top w:val="single" w:sz="8" w:space="0" w:color="455560"/>
              <w:left w:val="nil"/>
              <w:bottom w:val="single" w:sz="8" w:space="0" w:color="455560"/>
              <w:right w:val="nil"/>
            </w:tcBorders>
            <w:vAlign w:val="center"/>
          </w:tcPr>
          <w:p w14:paraId="05EDABFB" w14:textId="1287F72C"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AB3B24">
              <w:rPr>
                <w:rFonts w:asciiTheme="minorHAnsi" w:hAnsiTheme="minorHAnsi" w:cstheme="minorHAnsi"/>
                <w:iCs/>
                <w:kern w:val="24"/>
              </w:rPr>
              <w:t>117</w:t>
            </w:r>
            <w:r w:rsidRPr="00E26627">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09EB71B0" w14:textId="1F00E56A" w:rsidR="00A237C4" w:rsidRPr="00AB3B24" w:rsidRDefault="00A237C4" w:rsidP="00A237C4">
            <w:pPr>
              <w:spacing w:beforeLines="20" w:before="48" w:afterLines="20" w:after="48" w:line="220" w:lineRule="atLeast"/>
              <w:jc w:val="center"/>
              <w:rPr>
                <w:rFonts w:asciiTheme="minorHAnsi" w:hAnsiTheme="minorHAnsi" w:cstheme="minorHAnsi"/>
                <w:iCs/>
                <w:kern w:val="24"/>
              </w:rPr>
            </w:pPr>
            <w:r w:rsidRPr="00CF4A8D">
              <w:rPr>
                <w:rFonts w:asciiTheme="minorHAnsi" w:hAnsiTheme="minorHAnsi" w:cstheme="minorHAnsi"/>
                <w:iCs/>
                <w:kern w:val="24"/>
              </w:rPr>
              <w:t>0.17</w:t>
            </w:r>
            <w:r w:rsidRPr="00CF4A8D">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8751494" w14:textId="512287C8"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064DAC">
              <w:rPr>
                <w:rFonts w:asciiTheme="minorHAnsi" w:eastAsiaTheme="minorHAnsi" w:hAnsiTheme="minorHAnsi" w:cstheme="minorHAnsi"/>
                <w:iCs/>
                <w:kern w:val="24"/>
                <w:sz w:val="22"/>
                <w:szCs w:val="22"/>
              </w:rPr>
              <w:t>235.01</w:t>
            </w:r>
          </w:p>
        </w:tc>
        <w:tc>
          <w:tcPr>
            <w:tcW w:w="1592" w:type="dxa"/>
            <w:tcBorders>
              <w:top w:val="single" w:sz="8" w:space="0" w:color="455560"/>
              <w:left w:val="nil"/>
              <w:bottom w:val="single" w:sz="8" w:space="0" w:color="455560"/>
              <w:right w:val="nil"/>
            </w:tcBorders>
            <w:vAlign w:val="center"/>
          </w:tcPr>
          <w:p w14:paraId="2EA3289D" w14:textId="34BFE2D1"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E26627">
              <w:rPr>
                <w:rFonts w:asciiTheme="minorHAnsi" w:hAnsiTheme="minorHAnsi" w:cstheme="minorHAnsi"/>
                <w:iCs/>
                <w:kern w:val="24"/>
              </w:rPr>
              <w:t>402.77</w:t>
            </w:r>
            <w:r w:rsidRPr="00E26627">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459E760" w14:textId="406D39A0"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ED48B3">
              <w:rPr>
                <w:rFonts w:asciiTheme="minorHAnsi" w:hAnsiTheme="minorHAnsi" w:cstheme="minorHAnsi"/>
                <w:iCs/>
                <w:kern w:val="24"/>
              </w:rPr>
              <w:t>0.00</w:t>
            </w:r>
            <w:r w:rsidRPr="005229D0">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480E2DA2" w14:textId="73739AE2" w:rsidR="00A237C4" w:rsidRPr="00D4525E" w:rsidRDefault="00A237C4" w:rsidP="00A237C4">
            <w:pPr>
              <w:spacing w:beforeLines="20" w:before="48" w:afterLines="20" w:after="48" w:line="220" w:lineRule="atLeast"/>
              <w:jc w:val="center"/>
              <w:rPr>
                <w:rFonts w:asciiTheme="minorHAnsi" w:hAnsiTheme="minorHAnsi" w:cstheme="minorHAnsi"/>
                <w:iCs/>
                <w:kern w:val="24"/>
              </w:rPr>
            </w:pPr>
            <w:r w:rsidRPr="00D4525E">
              <w:rPr>
                <w:rFonts w:asciiTheme="minorHAnsi" w:hAnsiTheme="minorHAnsi" w:cstheme="minorHAnsi"/>
                <w:iCs/>
                <w:kern w:val="24"/>
              </w:rPr>
              <w:t>0.00</w:t>
            </w:r>
            <w:r w:rsidRPr="00D4525E">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62F97EEF" w14:textId="394896D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162C13">
              <w:rPr>
                <w:rFonts w:asciiTheme="minorHAnsi" w:hAnsiTheme="minorHAnsi" w:cstheme="minorHAnsi"/>
                <w:iCs/>
                <w:kern w:val="24"/>
              </w:rPr>
              <w:t>0.00</w:t>
            </w:r>
            <w:r w:rsidRPr="00F230E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188783EC" w14:textId="6D7A6189"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4039EB">
              <w:rPr>
                <w:rFonts w:asciiTheme="minorHAnsi" w:hAnsiTheme="minorHAnsi" w:cstheme="minorHAnsi"/>
                <w:iCs/>
                <w:kern w:val="24"/>
              </w:rPr>
              <w:t>0.00</w:t>
            </w:r>
            <w:r w:rsidRPr="00854A17">
              <w:rPr>
                <w:rFonts w:asciiTheme="minorHAnsi" w:hAnsiTheme="minorHAnsi" w:cstheme="minorHAnsi"/>
                <w:iCs/>
                <w:color w:val="auto"/>
                <w:kern w:val="24"/>
              </w:rPr>
              <w:t>​</w:t>
            </w:r>
          </w:p>
        </w:tc>
      </w:tr>
      <w:tr w:rsidR="00A237C4" w:rsidRPr="00A237C4" w14:paraId="7B44AB32" w14:textId="77777777" w:rsidTr="00C636BE">
        <w:tc>
          <w:tcPr>
            <w:tcW w:w="1156" w:type="dxa"/>
            <w:tcBorders>
              <w:top w:val="single" w:sz="8" w:space="0" w:color="455560"/>
              <w:bottom w:val="single" w:sz="8" w:space="0" w:color="455560"/>
              <w:right w:val="nil"/>
            </w:tcBorders>
            <w:vAlign w:val="center"/>
          </w:tcPr>
          <w:p w14:paraId="2BDFD241" w14:textId="77777777" w:rsidR="00A237C4" w:rsidRPr="0039619C" w:rsidRDefault="00A237C4" w:rsidP="00A237C4">
            <w:pPr>
              <w:spacing w:beforeLines="20" w:before="48" w:afterLines="20" w:after="48" w:line="220" w:lineRule="atLeast"/>
              <w:jc w:val="center"/>
              <w:rPr>
                <w:rFonts w:asciiTheme="minorHAnsi" w:hAnsiTheme="minorHAnsi" w:cstheme="minorHAnsi"/>
                <w:iCs/>
              </w:rPr>
            </w:pPr>
            <w:r w:rsidRPr="0039619C">
              <w:rPr>
                <w:rFonts w:cstheme="minorHAnsi"/>
                <w:iCs/>
                <w:kern w:val="24"/>
              </w:rPr>
              <w:t>30</w:t>
            </w:r>
          </w:p>
        </w:tc>
        <w:tc>
          <w:tcPr>
            <w:tcW w:w="860" w:type="dxa"/>
            <w:tcBorders>
              <w:top w:val="single" w:sz="8" w:space="0" w:color="455560"/>
              <w:left w:val="nil"/>
              <w:bottom w:val="single" w:sz="8" w:space="0" w:color="455560"/>
              <w:right w:val="nil"/>
            </w:tcBorders>
            <w:vAlign w:val="center"/>
          </w:tcPr>
          <w:p w14:paraId="4491C308" w14:textId="0AFCA77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hAnsiTheme="minorHAnsi" w:cstheme="minorHAnsi"/>
                <w:iCs/>
                <w:kern w:val="24"/>
              </w:rPr>
              <w:t>131</w:t>
            </w:r>
            <w:r w:rsidRPr="0039619C">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26F3E552" w14:textId="19B0C929"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hAnsiTheme="minorHAnsi" w:cstheme="minorHAnsi"/>
                <w:iCs/>
                <w:kern w:val="24"/>
              </w:rPr>
              <w:t>0.20</w:t>
            </w:r>
            <w:r w:rsidRPr="0039619C">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5B14557" w14:textId="2E21F05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eastAsiaTheme="minorHAnsi" w:hAnsiTheme="minorHAnsi" w:cstheme="minorHAnsi"/>
                <w:iCs/>
                <w:kern w:val="24"/>
                <w:sz w:val="22"/>
                <w:szCs w:val="22"/>
              </w:rPr>
              <w:t>166.75</w:t>
            </w:r>
          </w:p>
        </w:tc>
        <w:tc>
          <w:tcPr>
            <w:tcW w:w="1592" w:type="dxa"/>
            <w:tcBorders>
              <w:top w:val="single" w:sz="8" w:space="0" w:color="455560"/>
              <w:left w:val="nil"/>
              <w:bottom w:val="single" w:sz="8" w:space="0" w:color="455560"/>
              <w:right w:val="nil"/>
            </w:tcBorders>
            <w:vAlign w:val="center"/>
          </w:tcPr>
          <w:p w14:paraId="2CBE108B" w14:textId="51403D68" w:rsidR="00A237C4" w:rsidRPr="00C83B67" w:rsidRDefault="00A237C4" w:rsidP="00A237C4">
            <w:pPr>
              <w:spacing w:beforeLines="20" w:before="48" w:afterLines="20" w:after="48" w:line="220" w:lineRule="atLeast"/>
              <w:jc w:val="center"/>
              <w:rPr>
                <w:rFonts w:asciiTheme="minorHAnsi" w:hAnsiTheme="minorHAnsi" w:cstheme="minorHAnsi"/>
                <w:iCs/>
                <w:kern w:val="24"/>
              </w:rPr>
            </w:pPr>
            <w:r w:rsidRPr="00282387">
              <w:rPr>
                <w:rFonts w:asciiTheme="minorHAnsi" w:hAnsiTheme="minorHAnsi" w:cstheme="minorHAnsi"/>
                <w:iCs/>
                <w:kern w:val="24"/>
              </w:rPr>
              <w:t>285.73</w:t>
            </w:r>
            <w:r w:rsidRPr="00282387">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128D7ABE" w14:textId="2880AA3C" w:rsidR="00A237C4" w:rsidRPr="00CB0E09" w:rsidRDefault="00A237C4" w:rsidP="00A237C4">
            <w:pPr>
              <w:spacing w:beforeLines="20" w:before="48" w:afterLines="20" w:after="48" w:line="220" w:lineRule="atLeast"/>
              <w:jc w:val="center"/>
              <w:rPr>
                <w:rFonts w:asciiTheme="minorHAnsi" w:hAnsiTheme="minorHAnsi" w:cstheme="minorHAnsi"/>
                <w:iCs/>
                <w:kern w:val="24"/>
              </w:rPr>
            </w:pPr>
            <w:r w:rsidRPr="00C83B67">
              <w:rPr>
                <w:rFonts w:asciiTheme="minorHAnsi" w:hAnsiTheme="minorHAnsi" w:cstheme="minorHAnsi"/>
                <w:iCs/>
                <w:kern w:val="24"/>
              </w:rPr>
              <w:t>0.00</w:t>
            </w:r>
            <w:r w:rsidRPr="00C83B67">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58AA811F" w14:textId="459F1FB4" w:rsidR="00A237C4" w:rsidRPr="00CB0E09" w:rsidRDefault="00A237C4" w:rsidP="00A237C4">
            <w:pPr>
              <w:spacing w:beforeLines="20" w:before="48" w:afterLines="20" w:after="48" w:line="220" w:lineRule="atLeast"/>
              <w:jc w:val="center"/>
              <w:rPr>
                <w:rFonts w:asciiTheme="minorHAnsi" w:hAnsiTheme="minorHAnsi" w:cstheme="minorHAnsi"/>
                <w:iCs/>
                <w:kern w:val="24"/>
              </w:rPr>
            </w:pPr>
            <w:r w:rsidRPr="00CB0E09">
              <w:rPr>
                <w:rFonts w:asciiTheme="minorHAnsi" w:hAnsiTheme="minorHAnsi" w:cstheme="minorHAnsi"/>
                <w:iCs/>
                <w:kern w:val="24"/>
              </w:rPr>
              <w:t>0.00</w:t>
            </w:r>
            <w:r w:rsidRPr="00CB0E09">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202861A6" w14:textId="4BEBC163" w:rsidR="00A237C4" w:rsidRPr="00663AED" w:rsidRDefault="00A237C4" w:rsidP="00A237C4">
            <w:pPr>
              <w:spacing w:beforeLines="20" w:before="48" w:afterLines="20" w:after="48" w:line="220" w:lineRule="atLeast"/>
              <w:jc w:val="center"/>
              <w:rPr>
                <w:rFonts w:asciiTheme="minorHAnsi" w:hAnsiTheme="minorHAnsi" w:cstheme="minorHAnsi"/>
                <w:iCs/>
                <w:kern w:val="24"/>
              </w:rPr>
            </w:pPr>
            <w:r w:rsidRPr="00CB0E09">
              <w:rPr>
                <w:rFonts w:asciiTheme="minorHAnsi" w:hAnsiTheme="minorHAnsi" w:cstheme="minorHAnsi"/>
                <w:iCs/>
                <w:kern w:val="24"/>
              </w:rPr>
              <w:t>0.00</w:t>
            </w:r>
            <w:r w:rsidRPr="00CB0E09">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4836D98C" w14:textId="2047EDA6" w:rsidR="00A237C4" w:rsidRPr="005C0695" w:rsidRDefault="00A237C4" w:rsidP="00A237C4">
            <w:pPr>
              <w:spacing w:beforeLines="20" w:before="48" w:afterLines="20" w:after="48" w:line="220" w:lineRule="atLeast"/>
              <w:jc w:val="center"/>
              <w:rPr>
                <w:rFonts w:asciiTheme="minorHAnsi" w:hAnsiTheme="minorHAnsi" w:cstheme="minorHAnsi"/>
                <w:iCs/>
                <w:kern w:val="24"/>
              </w:rPr>
            </w:pPr>
            <w:r w:rsidRPr="005C0695">
              <w:rPr>
                <w:rFonts w:asciiTheme="minorHAnsi" w:hAnsiTheme="minorHAnsi" w:cstheme="minorHAnsi"/>
                <w:iCs/>
                <w:kern w:val="24"/>
              </w:rPr>
              <w:t>0.00</w:t>
            </w:r>
            <w:r w:rsidRPr="005C0695">
              <w:rPr>
                <w:rFonts w:asciiTheme="minorHAnsi" w:hAnsiTheme="minorHAnsi" w:cstheme="minorHAnsi"/>
                <w:iCs/>
                <w:color w:val="auto"/>
                <w:kern w:val="24"/>
              </w:rPr>
              <w:t>​</w:t>
            </w:r>
          </w:p>
        </w:tc>
      </w:tr>
      <w:tr w:rsidR="00A237C4" w:rsidRPr="00A237C4" w14:paraId="6D7361E7" w14:textId="77777777" w:rsidTr="00C636BE">
        <w:tc>
          <w:tcPr>
            <w:tcW w:w="1156" w:type="dxa"/>
            <w:tcBorders>
              <w:top w:val="single" w:sz="8" w:space="0" w:color="455560"/>
              <w:bottom w:val="single" w:sz="8" w:space="0" w:color="455560"/>
              <w:right w:val="nil"/>
            </w:tcBorders>
            <w:vAlign w:val="center"/>
          </w:tcPr>
          <w:p w14:paraId="1468871E" w14:textId="77777777" w:rsidR="00A237C4" w:rsidRPr="00EB100F" w:rsidRDefault="00A237C4" w:rsidP="00A237C4">
            <w:pPr>
              <w:spacing w:beforeLines="20" w:before="48" w:afterLines="20" w:after="48" w:line="220" w:lineRule="atLeast"/>
              <w:jc w:val="center"/>
              <w:rPr>
                <w:rFonts w:asciiTheme="minorHAnsi" w:hAnsiTheme="minorHAnsi" w:cstheme="minorHAnsi"/>
                <w:iCs/>
              </w:rPr>
            </w:pPr>
            <w:r w:rsidRPr="005C0695">
              <w:rPr>
                <w:rFonts w:cstheme="minorHAnsi"/>
                <w:iCs/>
                <w:kern w:val="24"/>
              </w:rPr>
              <w:t>35</w:t>
            </w:r>
          </w:p>
        </w:tc>
        <w:tc>
          <w:tcPr>
            <w:tcW w:w="860" w:type="dxa"/>
            <w:tcBorders>
              <w:top w:val="single" w:sz="8" w:space="0" w:color="455560"/>
              <w:left w:val="nil"/>
              <w:bottom w:val="single" w:sz="8" w:space="0" w:color="455560"/>
              <w:right w:val="nil"/>
            </w:tcBorders>
            <w:vAlign w:val="center"/>
          </w:tcPr>
          <w:p w14:paraId="09143762" w14:textId="571D8CEF" w:rsidR="00A237C4" w:rsidRPr="00DA1AA8" w:rsidRDefault="00A237C4" w:rsidP="00A237C4">
            <w:pPr>
              <w:spacing w:beforeLines="20" w:before="48" w:afterLines="20" w:after="48" w:line="220" w:lineRule="atLeast"/>
              <w:jc w:val="center"/>
              <w:rPr>
                <w:rFonts w:asciiTheme="minorHAnsi" w:hAnsiTheme="minorHAnsi" w:cstheme="minorHAnsi"/>
                <w:iCs/>
                <w:kern w:val="24"/>
              </w:rPr>
            </w:pPr>
            <w:r w:rsidRPr="00DA1AA8">
              <w:rPr>
                <w:rFonts w:asciiTheme="minorHAnsi" w:hAnsiTheme="minorHAnsi" w:cstheme="minorHAnsi"/>
                <w:iCs/>
                <w:kern w:val="24"/>
              </w:rPr>
              <w:t>144</w:t>
            </w:r>
            <w:r w:rsidRPr="00DA1AA8">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679D67E4" w14:textId="23B490C8" w:rsidR="00A237C4" w:rsidRPr="00DA1AA8" w:rsidRDefault="00A237C4" w:rsidP="00A237C4">
            <w:pPr>
              <w:spacing w:beforeLines="20" w:before="48" w:afterLines="20" w:after="48" w:line="220" w:lineRule="atLeast"/>
              <w:jc w:val="center"/>
              <w:rPr>
                <w:rFonts w:asciiTheme="minorHAnsi" w:hAnsiTheme="minorHAnsi" w:cstheme="minorHAnsi"/>
                <w:iCs/>
                <w:kern w:val="24"/>
              </w:rPr>
            </w:pPr>
            <w:r w:rsidRPr="00DA1AA8">
              <w:rPr>
                <w:rFonts w:asciiTheme="minorHAnsi" w:hAnsiTheme="minorHAnsi" w:cstheme="minorHAnsi"/>
                <w:iCs/>
                <w:kern w:val="24"/>
              </w:rPr>
              <w:t>0.24</w:t>
            </w:r>
            <w:r w:rsidRPr="00DA1AA8">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1CA78600" w14:textId="612307F8" w:rsidR="00A237C4" w:rsidRPr="00E46C0F" w:rsidRDefault="00A237C4" w:rsidP="00A237C4">
            <w:pPr>
              <w:spacing w:beforeLines="20" w:before="48" w:afterLines="20" w:after="48" w:line="220" w:lineRule="atLeast"/>
              <w:jc w:val="center"/>
              <w:rPr>
                <w:rFonts w:asciiTheme="minorHAnsi" w:hAnsiTheme="minorHAnsi" w:cstheme="minorHAnsi"/>
                <w:iCs/>
                <w:kern w:val="24"/>
              </w:rPr>
            </w:pPr>
            <w:r w:rsidRPr="00E46C0F">
              <w:rPr>
                <w:rFonts w:asciiTheme="minorHAnsi" w:eastAsiaTheme="minorHAnsi" w:hAnsiTheme="minorHAnsi" w:cstheme="minorHAnsi"/>
                <w:iCs/>
                <w:kern w:val="24"/>
                <w:sz w:val="22"/>
                <w:szCs w:val="22"/>
              </w:rPr>
              <w:t>130.28</w:t>
            </w:r>
          </w:p>
        </w:tc>
        <w:tc>
          <w:tcPr>
            <w:tcW w:w="1592" w:type="dxa"/>
            <w:tcBorders>
              <w:top w:val="single" w:sz="8" w:space="0" w:color="455560"/>
              <w:left w:val="nil"/>
              <w:bottom w:val="single" w:sz="8" w:space="0" w:color="455560"/>
              <w:right w:val="nil"/>
            </w:tcBorders>
            <w:vAlign w:val="center"/>
          </w:tcPr>
          <w:p w14:paraId="61CC5E41" w14:textId="01B90E38" w:rsidR="00A237C4" w:rsidRPr="00763BB6" w:rsidRDefault="00A237C4" w:rsidP="00A237C4">
            <w:pPr>
              <w:spacing w:beforeLines="20" w:before="48" w:afterLines="20" w:after="48" w:line="220" w:lineRule="atLeast"/>
              <w:jc w:val="center"/>
              <w:rPr>
                <w:rFonts w:asciiTheme="minorHAnsi" w:hAnsiTheme="minorHAnsi" w:cstheme="minorHAnsi"/>
                <w:iCs/>
                <w:kern w:val="24"/>
              </w:rPr>
            </w:pPr>
            <w:r w:rsidRPr="00763BB6">
              <w:rPr>
                <w:rFonts w:asciiTheme="minorHAnsi" w:hAnsiTheme="minorHAnsi" w:cstheme="minorHAnsi"/>
                <w:iCs/>
                <w:kern w:val="24"/>
              </w:rPr>
              <w:t>223.22</w:t>
            </w:r>
            <w:r w:rsidRPr="00763BB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7848BC8D" w14:textId="33632A60"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763BB6">
              <w:rPr>
                <w:rFonts w:asciiTheme="minorHAnsi" w:hAnsiTheme="minorHAnsi" w:cstheme="minorHAnsi"/>
                <w:iCs/>
                <w:kern w:val="24"/>
              </w:rPr>
              <w:t>0.10</w:t>
            </w:r>
            <w:r w:rsidRPr="00763BB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19765E5E" w14:textId="3E99A284"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3E5B1E">
              <w:rPr>
                <w:rFonts w:asciiTheme="minorHAnsi" w:hAnsiTheme="minorHAnsi" w:cstheme="minorHAnsi"/>
                <w:iCs/>
                <w:kern w:val="24"/>
              </w:rPr>
              <w:t>0.07</w:t>
            </w:r>
            <w:r w:rsidRPr="003E5B1E">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6D0EFA69" w14:textId="26FC7B0B"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3E5B1E">
              <w:rPr>
                <w:rFonts w:asciiTheme="minorHAnsi" w:hAnsiTheme="minorHAnsi" w:cstheme="minorHAnsi"/>
                <w:iCs/>
                <w:kern w:val="24"/>
              </w:rPr>
              <w:t>0.02</w:t>
            </w:r>
            <w:r w:rsidRPr="003E5B1E">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72A98C2C" w14:textId="10819C34"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0.01</w:t>
            </w:r>
            <w:r w:rsidRPr="00BD17DC">
              <w:rPr>
                <w:rFonts w:asciiTheme="minorHAnsi" w:hAnsiTheme="minorHAnsi" w:cstheme="minorHAnsi"/>
                <w:iCs/>
                <w:color w:val="auto"/>
                <w:kern w:val="24"/>
              </w:rPr>
              <w:t>​</w:t>
            </w:r>
          </w:p>
        </w:tc>
      </w:tr>
      <w:tr w:rsidR="00A237C4" w:rsidRPr="00A237C4" w14:paraId="5FEB9208" w14:textId="77777777" w:rsidTr="00C636BE">
        <w:tc>
          <w:tcPr>
            <w:tcW w:w="1156" w:type="dxa"/>
            <w:tcBorders>
              <w:top w:val="single" w:sz="8" w:space="0" w:color="455560"/>
              <w:bottom w:val="single" w:sz="8" w:space="0" w:color="455560"/>
              <w:right w:val="nil"/>
            </w:tcBorders>
            <w:vAlign w:val="center"/>
          </w:tcPr>
          <w:p w14:paraId="7E7FC6BC" w14:textId="77777777" w:rsidR="00A237C4" w:rsidRPr="00BD17DC" w:rsidRDefault="00A237C4" w:rsidP="00A237C4">
            <w:pPr>
              <w:spacing w:beforeLines="20" w:before="48" w:afterLines="20" w:after="48" w:line="220" w:lineRule="atLeast"/>
              <w:jc w:val="center"/>
              <w:rPr>
                <w:rFonts w:asciiTheme="minorHAnsi" w:hAnsiTheme="minorHAnsi" w:cstheme="minorHAnsi"/>
                <w:iCs/>
              </w:rPr>
            </w:pPr>
            <w:r w:rsidRPr="00BD17DC">
              <w:rPr>
                <w:rFonts w:cstheme="minorHAnsi"/>
                <w:iCs/>
                <w:kern w:val="24"/>
              </w:rPr>
              <w:t>40</w:t>
            </w:r>
          </w:p>
        </w:tc>
        <w:tc>
          <w:tcPr>
            <w:tcW w:w="860" w:type="dxa"/>
            <w:tcBorders>
              <w:top w:val="single" w:sz="8" w:space="0" w:color="455560"/>
              <w:left w:val="nil"/>
              <w:bottom w:val="single" w:sz="8" w:space="0" w:color="455560"/>
              <w:right w:val="nil"/>
            </w:tcBorders>
            <w:vAlign w:val="center"/>
          </w:tcPr>
          <w:p w14:paraId="06F82930" w14:textId="575222DF"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151</w:t>
            </w:r>
            <w:r w:rsidRPr="00BD17DC">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7950D8E5" w14:textId="0510B6C2"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0.41</w:t>
            </w:r>
            <w:r w:rsidRPr="00BD17DC">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D9DCDD1" w14:textId="6D3FD99C"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eastAsiaTheme="minorHAnsi" w:hAnsiTheme="minorHAnsi" w:cstheme="minorHAnsi"/>
                <w:iCs/>
                <w:kern w:val="24"/>
                <w:sz w:val="22"/>
                <w:szCs w:val="22"/>
              </w:rPr>
              <w:t>104.89</w:t>
            </w:r>
          </w:p>
        </w:tc>
        <w:tc>
          <w:tcPr>
            <w:tcW w:w="1592" w:type="dxa"/>
            <w:tcBorders>
              <w:top w:val="single" w:sz="8" w:space="0" w:color="455560"/>
              <w:left w:val="nil"/>
              <w:bottom w:val="single" w:sz="8" w:space="0" w:color="455560"/>
              <w:right w:val="nil"/>
            </w:tcBorders>
            <w:vAlign w:val="center"/>
          </w:tcPr>
          <w:p w14:paraId="19ED91E3" w14:textId="03E710D7"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179.66</w:t>
            </w:r>
            <w:r w:rsidRPr="00BD17DC">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A026577" w14:textId="6E88E4F9"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0.16</w:t>
            </w:r>
            <w:r w:rsidRPr="007D3D4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58FB6251" w14:textId="14C50A4A"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0.12</w:t>
            </w:r>
            <w:r w:rsidRPr="007D3D4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3EF7A055" w14:textId="662866A9"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0.03</w:t>
            </w:r>
            <w:r w:rsidRPr="007D3D46">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3CCEADBA" w14:textId="36F760EC"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0.02</w:t>
            </w:r>
            <w:r w:rsidRPr="007D3D46">
              <w:rPr>
                <w:rFonts w:asciiTheme="minorHAnsi" w:hAnsiTheme="minorHAnsi" w:cstheme="minorHAnsi"/>
                <w:iCs/>
                <w:color w:val="auto"/>
                <w:kern w:val="24"/>
              </w:rPr>
              <w:t>​</w:t>
            </w:r>
          </w:p>
        </w:tc>
      </w:tr>
      <w:tr w:rsidR="00A237C4" w:rsidRPr="00A237C4" w14:paraId="13806D72" w14:textId="77777777" w:rsidTr="00C636BE">
        <w:tc>
          <w:tcPr>
            <w:tcW w:w="1156" w:type="dxa"/>
            <w:tcBorders>
              <w:top w:val="single" w:sz="8" w:space="0" w:color="455560"/>
              <w:bottom w:val="single" w:sz="8" w:space="0" w:color="455560"/>
              <w:right w:val="nil"/>
            </w:tcBorders>
            <w:vAlign w:val="center"/>
          </w:tcPr>
          <w:p w14:paraId="6B4E3876" w14:textId="77777777" w:rsidR="00A237C4" w:rsidRPr="007D3D46" w:rsidRDefault="00A237C4" w:rsidP="00A237C4">
            <w:pPr>
              <w:spacing w:beforeLines="20" w:before="48" w:afterLines="20" w:after="48" w:line="220" w:lineRule="atLeast"/>
              <w:jc w:val="center"/>
              <w:rPr>
                <w:rFonts w:asciiTheme="minorHAnsi" w:hAnsiTheme="minorHAnsi" w:cstheme="minorHAnsi"/>
                <w:iCs/>
              </w:rPr>
            </w:pPr>
            <w:r w:rsidRPr="007D3D46">
              <w:rPr>
                <w:rFonts w:cstheme="minorHAnsi"/>
                <w:iCs/>
                <w:kern w:val="24"/>
              </w:rPr>
              <w:t>45</w:t>
            </w:r>
          </w:p>
        </w:tc>
        <w:tc>
          <w:tcPr>
            <w:tcW w:w="860" w:type="dxa"/>
            <w:tcBorders>
              <w:top w:val="single" w:sz="8" w:space="0" w:color="455560"/>
              <w:left w:val="nil"/>
              <w:bottom w:val="single" w:sz="8" w:space="0" w:color="455560"/>
              <w:right w:val="nil"/>
            </w:tcBorders>
            <w:vAlign w:val="center"/>
          </w:tcPr>
          <w:p w14:paraId="32D8F4DD" w14:textId="4B4E1D6B"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159</w:t>
            </w:r>
            <w:r w:rsidRPr="007D3D46">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48368EA3" w14:textId="0ECB69FD"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0.68</w:t>
            </w:r>
            <w:r w:rsidRPr="007D3D46">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00AE093" w14:textId="2CADD9C4"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eastAsiaTheme="minorHAnsi" w:hAnsiTheme="minorHAnsi" w:cstheme="minorHAnsi"/>
                <w:iCs/>
                <w:kern w:val="24"/>
                <w:sz w:val="22"/>
                <w:szCs w:val="22"/>
              </w:rPr>
              <w:t>98.53</w:t>
            </w:r>
          </w:p>
        </w:tc>
        <w:tc>
          <w:tcPr>
            <w:tcW w:w="1592" w:type="dxa"/>
            <w:tcBorders>
              <w:top w:val="single" w:sz="8" w:space="0" w:color="455560"/>
              <w:left w:val="nil"/>
              <w:bottom w:val="single" w:sz="8" w:space="0" w:color="455560"/>
              <w:right w:val="nil"/>
            </w:tcBorders>
            <w:vAlign w:val="center"/>
          </w:tcPr>
          <w:p w14:paraId="6C564DAD" w14:textId="2487F94A"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168.72</w:t>
            </w:r>
            <w:r w:rsidRPr="007D3D4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5EEE3CD" w14:textId="0F73517F"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0.35</w:t>
            </w:r>
            <w:r w:rsidRPr="007D3D4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78A61659" w14:textId="3078FD25"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64131F">
              <w:rPr>
                <w:rFonts w:asciiTheme="minorHAnsi" w:hAnsiTheme="minorHAnsi" w:cstheme="minorHAnsi"/>
                <w:iCs/>
                <w:kern w:val="24"/>
              </w:rPr>
              <w:t>0.27</w:t>
            </w:r>
            <w:r w:rsidRPr="0064131F">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16B43D3C" w14:textId="2C944C55"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64131F">
              <w:rPr>
                <w:rFonts w:asciiTheme="minorHAnsi" w:hAnsiTheme="minorHAnsi" w:cstheme="minorHAnsi"/>
                <w:iCs/>
                <w:kern w:val="24"/>
              </w:rPr>
              <w:t>0.07</w:t>
            </w:r>
            <w:r w:rsidRPr="0064131F">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1B9DE5AA" w14:textId="20219441" w:rsidR="00A237C4" w:rsidRPr="00BA1FF8" w:rsidRDefault="00A237C4" w:rsidP="00A237C4">
            <w:pPr>
              <w:spacing w:beforeLines="20" w:before="48" w:afterLines="20" w:after="48" w:line="220" w:lineRule="atLeast"/>
              <w:jc w:val="center"/>
              <w:rPr>
                <w:rFonts w:asciiTheme="minorHAnsi" w:hAnsiTheme="minorHAnsi" w:cstheme="minorHAnsi"/>
                <w:iCs/>
                <w:kern w:val="24"/>
              </w:rPr>
            </w:pPr>
            <w:r w:rsidRPr="00BA1FF8">
              <w:rPr>
                <w:rFonts w:asciiTheme="minorHAnsi" w:hAnsiTheme="minorHAnsi" w:cstheme="minorHAnsi"/>
                <w:iCs/>
                <w:kern w:val="24"/>
              </w:rPr>
              <w:t>0.05</w:t>
            </w:r>
            <w:r w:rsidRPr="00BA1FF8">
              <w:rPr>
                <w:rFonts w:asciiTheme="minorHAnsi" w:hAnsiTheme="minorHAnsi" w:cstheme="minorHAnsi"/>
                <w:iCs/>
                <w:color w:val="auto"/>
                <w:kern w:val="24"/>
              </w:rPr>
              <w:t>​</w:t>
            </w:r>
          </w:p>
        </w:tc>
      </w:tr>
      <w:tr w:rsidR="00A237C4" w:rsidRPr="00A237C4" w14:paraId="29B55110" w14:textId="77777777" w:rsidTr="00C636BE">
        <w:tc>
          <w:tcPr>
            <w:tcW w:w="1156" w:type="dxa"/>
            <w:tcBorders>
              <w:top w:val="single" w:sz="8" w:space="0" w:color="455560"/>
              <w:bottom w:val="single" w:sz="8" w:space="0" w:color="455560"/>
              <w:right w:val="nil"/>
            </w:tcBorders>
            <w:vAlign w:val="center"/>
          </w:tcPr>
          <w:p w14:paraId="40F37B37" w14:textId="77777777" w:rsidR="00A237C4" w:rsidRPr="00BA1FF8" w:rsidRDefault="00A237C4" w:rsidP="00A237C4">
            <w:pPr>
              <w:spacing w:beforeLines="20" w:before="48" w:afterLines="20" w:after="48" w:line="220" w:lineRule="atLeast"/>
              <w:jc w:val="center"/>
              <w:rPr>
                <w:rFonts w:asciiTheme="minorHAnsi" w:hAnsiTheme="minorHAnsi" w:cstheme="minorHAnsi"/>
                <w:iCs/>
              </w:rPr>
            </w:pPr>
            <w:r w:rsidRPr="00BA1FF8">
              <w:rPr>
                <w:rFonts w:cstheme="minorHAnsi"/>
                <w:iCs/>
                <w:kern w:val="24"/>
              </w:rPr>
              <w:t>50</w:t>
            </w:r>
          </w:p>
        </w:tc>
        <w:tc>
          <w:tcPr>
            <w:tcW w:w="860" w:type="dxa"/>
            <w:tcBorders>
              <w:top w:val="single" w:sz="8" w:space="0" w:color="455560"/>
              <w:left w:val="nil"/>
              <w:bottom w:val="single" w:sz="8" w:space="0" w:color="455560"/>
              <w:right w:val="nil"/>
            </w:tcBorders>
            <w:vAlign w:val="center"/>
          </w:tcPr>
          <w:p w14:paraId="57CACDC9" w14:textId="4341408E"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BA1FF8">
              <w:rPr>
                <w:rFonts w:asciiTheme="minorHAnsi" w:hAnsiTheme="minorHAnsi" w:cstheme="minorHAnsi"/>
                <w:iCs/>
                <w:kern w:val="24"/>
              </w:rPr>
              <w:t>167</w:t>
            </w:r>
            <w:r w:rsidRPr="00BA1FF8">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1A458BF0" w14:textId="457F2F15"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hAnsiTheme="minorHAnsi" w:cstheme="minorHAnsi"/>
                <w:iCs/>
                <w:kern w:val="24"/>
              </w:rPr>
              <w:t>1.09</w:t>
            </w:r>
            <w:r w:rsidRPr="002D4EA5">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9162996" w14:textId="3B3E0AD3"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eastAsiaTheme="minorHAnsi" w:hAnsiTheme="minorHAnsi" w:cstheme="minorHAnsi"/>
                <w:iCs/>
                <w:kern w:val="24"/>
                <w:sz w:val="22"/>
                <w:szCs w:val="22"/>
              </w:rPr>
              <w:t>81.22</w:t>
            </w:r>
          </w:p>
        </w:tc>
        <w:tc>
          <w:tcPr>
            <w:tcW w:w="1592" w:type="dxa"/>
            <w:tcBorders>
              <w:top w:val="single" w:sz="8" w:space="0" w:color="455560"/>
              <w:left w:val="nil"/>
              <w:bottom w:val="single" w:sz="8" w:space="0" w:color="455560"/>
              <w:right w:val="nil"/>
            </w:tcBorders>
            <w:vAlign w:val="center"/>
          </w:tcPr>
          <w:p w14:paraId="6246508F" w14:textId="56322475"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hAnsiTheme="minorHAnsi" w:cstheme="minorHAnsi"/>
                <w:iCs/>
                <w:kern w:val="24"/>
              </w:rPr>
              <w:t>138.92</w:t>
            </w:r>
            <w:r w:rsidRPr="002D4EA5">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3E8D5B89" w14:textId="646ADE92"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7D5472">
              <w:rPr>
                <w:rFonts w:asciiTheme="minorHAnsi" w:hAnsiTheme="minorHAnsi" w:cstheme="minorHAnsi"/>
                <w:iCs/>
                <w:kern w:val="24"/>
              </w:rPr>
              <w:t>0.90</w:t>
            </w:r>
            <w:r w:rsidRPr="007D5472">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4FFD6B96" w14:textId="72E96512"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7D5472">
              <w:rPr>
                <w:rFonts w:asciiTheme="minorHAnsi" w:hAnsiTheme="minorHAnsi" w:cstheme="minorHAnsi"/>
                <w:iCs/>
                <w:kern w:val="24"/>
              </w:rPr>
              <w:t>0.68</w:t>
            </w:r>
            <w:r w:rsidRPr="007D5472">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8154B02" w14:textId="49F86043" w:rsidR="00A237C4" w:rsidRPr="00307B0C" w:rsidRDefault="00A237C4" w:rsidP="00A237C4">
            <w:pPr>
              <w:spacing w:beforeLines="20" w:before="48" w:afterLines="20" w:after="48" w:line="220" w:lineRule="atLeast"/>
              <w:jc w:val="center"/>
              <w:rPr>
                <w:rFonts w:asciiTheme="minorHAnsi" w:hAnsiTheme="minorHAnsi" w:cstheme="minorHAnsi"/>
                <w:iCs/>
                <w:kern w:val="24"/>
              </w:rPr>
            </w:pPr>
            <w:r w:rsidRPr="00307B0C">
              <w:rPr>
                <w:rFonts w:asciiTheme="minorHAnsi" w:hAnsiTheme="minorHAnsi" w:cstheme="minorHAnsi"/>
                <w:iCs/>
                <w:kern w:val="24"/>
              </w:rPr>
              <w:t>0.23</w:t>
            </w:r>
            <w:r w:rsidRPr="00307B0C">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73EB6CAE" w14:textId="43D5575B"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307B0C">
              <w:rPr>
                <w:rFonts w:asciiTheme="minorHAnsi" w:hAnsiTheme="minorHAnsi" w:cstheme="minorHAnsi"/>
                <w:iCs/>
                <w:kern w:val="24"/>
              </w:rPr>
              <w:t>0.17</w:t>
            </w:r>
            <w:r w:rsidRPr="00307B0C">
              <w:rPr>
                <w:rFonts w:asciiTheme="minorHAnsi" w:hAnsiTheme="minorHAnsi" w:cstheme="minorHAnsi"/>
                <w:iCs/>
                <w:color w:val="auto"/>
                <w:kern w:val="24"/>
              </w:rPr>
              <w:t>​</w:t>
            </w:r>
          </w:p>
        </w:tc>
      </w:tr>
      <w:tr w:rsidR="00A237C4" w:rsidRPr="00A237C4" w14:paraId="126473D1" w14:textId="77777777" w:rsidTr="00C636BE">
        <w:tc>
          <w:tcPr>
            <w:tcW w:w="1156" w:type="dxa"/>
            <w:tcBorders>
              <w:top w:val="single" w:sz="8" w:space="0" w:color="455560"/>
              <w:bottom w:val="single" w:sz="8" w:space="0" w:color="455560"/>
              <w:right w:val="nil"/>
            </w:tcBorders>
            <w:vAlign w:val="center"/>
          </w:tcPr>
          <w:p w14:paraId="2BF3A469" w14:textId="77777777" w:rsidR="00A237C4" w:rsidRPr="00840C99" w:rsidRDefault="00A237C4" w:rsidP="00A237C4">
            <w:pPr>
              <w:spacing w:beforeLines="20" w:before="48" w:afterLines="20" w:after="48" w:line="220" w:lineRule="atLeast"/>
              <w:jc w:val="center"/>
              <w:rPr>
                <w:rFonts w:asciiTheme="minorHAnsi" w:hAnsiTheme="minorHAnsi" w:cstheme="minorHAnsi"/>
                <w:iCs/>
              </w:rPr>
            </w:pPr>
            <w:r w:rsidRPr="00840C99">
              <w:rPr>
                <w:rFonts w:cstheme="minorHAnsi"/>
                <w:iCs/>
                <w:kern w:val="24"/>
              </w:rPr>
              <w:t>55</w:t>
            </w:r>
          </w:p>
        </w:tc>
        <w:tc>
          <w:tcPr>
            <w:tcW w:w="860" w:type="dxa"/>
            <w:tcBorders>
              <w:top w:val="single" w:sz="8" w:space="0" w:color="455560"/>
              <w:left w:val="nil"/>
              <w:bottom w:val="single" w:sz="8" w:space="0" w:color="455560"/>
              <w:right w:val="nil"/>
            </w:tcBorders>
            <w:vAlign w:val="center"/>
          </w:tcPr>
          <w:p w14:paraId="3CF72291" w14:textId="0616AB51"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173</w:t>
            </w:r>
            <w:r w:rsidRPr="00840C99">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6FF5E705" w14:textId="2EB6E8B7"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1.70</w:t>
            </w:r>
            <w:r w:rsidRPr="00840C99">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47AC9C8F" w14:textId="3A0A875A"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eastAsiaTheme="minorHAnsi" w:hAnsiTheme="minorHAnsi" w:cstheme="minorHAnsi"/>
                <w:iCs/>
                <w:kern w:val="24"/>
                <w:sz w:val="22"/>
                <w:szCs w:val="22"/>
              </w:rPr>
              <w:t>63.96</w:t>
            </w:r>
          </w:p>
        </w:tc>
        <w:tc>
          <w:tcPr>
            <w:tcW w:w="1592" w:type="dxa"/>
            <w:tcBorders>
              <w:top w:val="single" w:sz="8" w:space="0" w:color="455560"/>
              <w:left w:val="nil"/>
              <w:bottom w:val="single" w:sz="8" w:space="0" w:color="455560"/>
              <w:right w:val="nil"/>
            </w:tcBorders>
            <w:vAlign w:val="center"/>
          </w:tcPr>
          <w:p w14:paraId="43FEE999" w14:textId="40F75D7D"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109.45</w:t>
            </w:r>
            <w:r w:rsidRPr="00840C99">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25546FA5" w14:textId="72A7939B"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3.54</w:t>
            </w:r>
            <w:r w:rsidRPr="00357C3D">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334BD759" w14:textId="21D69E3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2.65</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7F9132F7" w14:textId="4180760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0.51</w:t>
            </w:r>
            <w:r w:rsidRPr="00357C3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005D326F" w14:textId="783CC068"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0.38</w:t>
            </w:r>
            <w:r w:rsidRPr="00357C3D">
              <w:rPr>
                <w:rFonts w:asciiTheme="minorHAnsi" w:hAnsiTheme="minorHAnsi" w:cstheme="minorHAnsi"/>
                <w:iCs/>
                <w:color w:val="auto"/>
                <w:kern w:val="24"/>
              </w:rPr>
              <w:t>​</w:t>
            </w:r>
          </w:p>
        </w:tc>
      </w:tr>
      <w:tr w:rsidR="00A237C4" w:rsidRPr="00A237C4" w14:paraId="2C24B6E7" w14:textId="77777777" w:rsidTr="00C636BE">
        <w:tc>
          <w:tcPr>
            <w:tcW w:w="1156" w:type="dxa"/>
            <w:tcBorders>
              <w:top w:val="single" w:sz="8" w:space="0" w:color="455560"/>
              <w:bottom w:val="single" w:sz="8" w:space="0" w:color="455560"/>
              <w:right w:val="nil"/>
            </w:tcBorders>
            <w:vAlign w:val="center"/>
          </w:tcPr>
          <w:p w14:paraId="32BBC1D7" w14:textId="77777777" w:rsidR="00A237C4" w:rsidRPr="00357C3D" w:rsidRDefault="00A237C4" w:rsidP="00A237C4">
            <w:pPr>
              <w:spacing w:beforeLines="20" w:before="48" w:afterLines="20" w:after="48" w:line="220" w:lineRule="atLeast"/>
              <w:jc w:val="center"/>
              <w:rPr>
                <w:rFonts w:asciiTheme="minorHAnsi" w:hAnsiTheme="minorHAnsi" w:cstheme="minorHAnsi"/>
                <w:iCs/>
              </w:rPr>
            </w:pPr>
            <w:r w:rsidRPr="00357C3D">
              <w:rPr>
                <w:rFonts w:cstheme="minorHAnsi"/>
                <w:iCs/>
                <w:kern w:val="24"/>
              </w:rPr>
              <w:t>60</w:t>
            </w:r>
          </w:p>
        </w:tc>
        <w:tc>
          <w:tcPr>
            <w:tcW w:w="860" w:type="dxa"/>
            <w:tcBorders>
              <w:top w:val="single" w:sz="8" w:space="0" w:color="455560"/>
              <w:left w:val="nil"/>
              <w:bottom w:val="single" w:sz="8" w:space="0" w:color="455560"/>
              <w:right w:val="nil"/>
            </w:tcBorders>
            <w:vAlign w:val="center"/>
          </w:tcPr>
          <w:p w14:paraId="68081DB1" w14:textId="601BEB6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174</w:t>
            </w:r>
            <w:r w:rsidRPr="00357C3D">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1A67F162" w14:textId="2A22BA3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3.06</w:t>
            </w:r>
            <w:r w:rsidRPr="00357C3D">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0A40D87" w14:textId="114F9E9D"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eastAsiaTheme="minorHAnsi" w:hAnsiTheme="minorHAnsi" w:cstheme="minorHAnsi"/>
                <w:iCs/>
                <w:kern w:val="24"/>
                <w:sz w:val="22"/>
                <w:szCs w:val="22"/>
              </w:rPr>
              <w:t>57.00</w:t>
            </w:r>
          </w:p>
        </w:tc>
        <w:tc>
          <w:tcPr>
            <w:tcW w:w="1592" w:type="dxa"/>
            <w:tcBorders>
              <w:top w:val="single" w:sz="8" w:space="0" w:color="455560"/>
              <w:left w:val="nil"/>
              <w:bottom w:val="single" w:sz="8" w:space="0" w:color="455560"/>
              <w:right w:val="nil"/>
            </w:tcBorders>
            <w:vAlign w:val="center"/>
          </w:tcPr>
          <w:p w14:paraId="50A7AE1D" w14:textId="3684A874"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97.51</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BCF5F9B" w14:textId="1A3F458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6.23</w:t>
            </w:r>
            <w:r w:rsidRPr="00357C3D">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6D93ABAD" w14:textId="4A11E430"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4.67</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552DFB0A" w14:textId="016AF52A"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0.44</w:t>
            </w:r>
            <w:r w:rsidRPr="00357C3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60049DC0" w14:textId="00E5841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0.33</w:t>
            </w:r>
            <w:r w:rsidRPr="00357C3D">
              <w:rPr>
                <w:rFonts w:asciiTheme="minorHAnsi" w:hAnsiTheme="minorHAnsi" w:cstheme="minorHAnsi"/>
                <w:iCs/>
                <w:color w:val="auto"/>
                <w:kern w:val="24"/>
              </w:rPr>
              <w:t>​</w:t>
            </w:r>
          </w:p>
        </w:tc>
      </w:tr>
      <w:tr w:rsidR="00A237C4" w:rsidRPr="00A237C4" w14:paraId="5BD6AA64" w14:textId="77777777" w:rsidTr="00E7783D">
        <w:tc>
          <w:tcPr>
            <w:tcW w:w="1156" w:type="dxa"/>
            <w:tcBorders>
              <w:top w:val="single" w:sz="8" w:space="0" w:color="455560"/>
              <w:bottom w:val="nil"/>
              <w:right w:val="nil"/>
            </w:tcBorders>
            <w:vAlign w:val="center"/>
          </w:tcPr>
          <w:p w14:paraId="3E699990" w14:textId="4C55D18A"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65</w:t>
            </w:r>
            <w:r w:rsidRPr="00357C3D">
              <w:rPr>
                <w:rFonts w:asciiTheme="minorHAnsi" w:hAnsiTheme="minorHAnsi" w:cstheme="minorHAnsi"/>
                <w:iCs/>
                <w:color w:val="auto"/>
                <w:kern w:val="24"/>
              </w:rPr>
              <w:t>​</w:t>
            </w:r>
          </w:p>
        </w:tc>
        <w:tc>
          <w:tcPr>
            <w:tcW w:w="860" w:type="dxa"/>
            <w:tcBorders>
              <w:top w:val="single" w:sz="8" w:space="0" w:color="455560"/>
              <w:left w:val="nil"/>
              <w:bottom w:val="nil"/>
              <w:right w:val="nil"/>
            </w:tcBorders>
            <w:vAlign w:val="center"/>
          </w:tcPr>
          <w:p w14:paraId="74350F96" w14:textId="13547A72"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174</w:t>
            </w:r>
            <w:r w:rsidRPr="00357C3D">
              <w:rPr>
                <w:rFonts w:asciiTheme="minorHAnsi" w:hAnsiTheme="minorHAnsi" w:cstheme="minorHAnsi"/>
                <w:iCs/>
                <w:color w:val="auto"/>
                <w:kern w:val="24"/>
              </w:rPr>
              <w:t>​</w:t>
            </w:r>
          </w:p>
        </w:tc>
        <w:tc>
          <w:tcPr>
            <w:tcW w:w="1388" w:type="dxa"/>
            <w:tcBorders>
              <w:top w:val="single" w:sz="8" w:space="0" w:color="455560"/>
              <w:left w:val="nil"/>
              <w:bottom w:val="nil"/>
              <w:right w:val="nil"/>
            </w:tcBorders>
            <w:vAlign w:val="center"/>
          </w:tcPr>
          <w:p w14:paraId="32A3EB5F" w14:textId="2AEA1CB1"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5.10</w:t>
            </w:r>
            <w:r w:rsidRPr="00357C3D">
              <w:rPr>
                <w:rFonts w:asciiTheme="minorHAnsi" w:hAnsiTheme="minorHAnsi" w:cstheme="minorHAnsi"/>
                <w:iCs/>
                <w:color w:val="auto"/>
                <w:kern w:val="24"/>
              </w:rPr>
              <w:t>​</w:t>
            </w:r>
          </w:p>
        </w:tc>
        <w:tc>
          <w:tcPr>
            <w:tcW w:w="1383" w:type="dxa"/>
            <w:tcBorders>
              <w:top w:val="single" w:sz="8" w:space="0" w:color="455560"/>
              <w:left w:val="nil"/>
              <w:bottom w:val="nil"/>
              <w:right w:val="nil"/>
            </w:tcBorders>
            <w:vAlign w:val="center"/>
          </w:tcPr>
          <w:p w14:paraId="55897B58" w14:textId="73255E5F"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eastAsiaTheme="minorHAnsi" w:hAnsiTheme="minorHAnsi" w:cstheme="minorHAnsi"/>
                <w:iCs/>
                <w:kern w:val="24"/>
                <w:sz w:val="22"/>
                <w:szCs w:val="22"/>
              </w:rPr>
              <w:t>34.99</w:t>
            </w:r>
          </w:p>
        </w:tc>
        <w:tc>
          <w:tcPr>
            <w:tcW w:w="1592" w:type="dxa"/>
            <w:tcBorders>
              <w:top w:val="single" w:sz="8" w:space="0" w:color="455560"/>
              <w:left w:val="nil"/>
              <w:bottom w:val="nil"/>
              <w:right w:val="nil"/>
            </w:tcBorders>
            <w:vAlign w:val="center"/>
          </w:tcPr>
          <w:p w14:paraId="164DC506" w14:textId="3833EB44"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59.85</w:t>
            </w:r>
            <w:r w:rsidRPr="00357C3D">
              <w:rPr>
                <w:rFonts w:asciiTheme="minorHAnsi" w:hAnsiTheme="minorHAnsi" w:cstheme="minorHAnsi"/>
                <w:iCs/>
                <w:color w:val="auto"/>
                <w:kern w:val="24"/>
              </w:rPr>
              <w:t>​</w:t>
            </w:r>
          </w:p>
        </w:tc>
        <w:tc>
          <w:tcPr>
            <w:tcW w:w="851" w:type="dxa"/>
            <w:tcBorders>
              <w:top w:val="single" w:sz="8" w:space="0" w:color="455560"/>
              <w:left w:val="nil"/>
              <w:bottom w:val="nil"/>
              <w:right w:val="nil"/>
            </w:tcBorders>
            <w:vAlign w:val="center"/>
          </w:tcPr>
          <w:p w14:paraId="408C39CB" w14:textId="3AD566FF"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11.83</w:t>
            </w:r>
            <w:r w:rsidRPr="00357C3D">
              <w:rPr>
                <w:rFonts w:asciiTheme="minorHAnsi" w:hAnsiTheme="minorHAnsi" w:cstheme="minorHAnsi"/>
                <w:iCs/>
                <w:color w:val="auto"/>
                <w:kern w:val="24"/>
              </w:rPr>
              <w:t>​</w:t>
            </w:r>
          </w:p>
        </w:tc>
        <w:tc>
          <w:tcPr>
            <w:tcW w:w="850" w:type="dxa"/>
            <w:tcBorders>
              <w:top w:val="single" w:sz="8" w:space="0" w:color="455560"/>
              <w:left w:val="nil"/>
              <w:bottom w:val="nil"/>
              <w:right w:val="nil"/>
            </w:tcBorders>
            <w:vAlign w:val="center"/>
          </w:tcPr>
          <w:p w14:paraId="5E91E694" w14:textId="27DD0F91"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8.87</w:t>
            </w:r>
            <w:r w:rsidRPr="00357C3D">
              <w:rPr>
                <w:rFonts w:asciiTheme="minorHAnsi" w:hAnsiTheme="minorHAnsi" w:cstheme="minorHAnsi"/>
                <w:iCs/>
                <w:color w:val="auto"/>
                <w:kern w:val="24"/>
              </w:rPr>
              <w:t>​</w:t>
            </w:r>
          </w:p>
        </w:tc>
        <w:tc>
          <w:tcPr>
            <w:tcW w:w="851" w:type="dxa"/>
            <w:tcBorders>
              <w:top w:val="single" w:sz="8" w:space="0" w:color="455560"/>
              <w:left w:val="nil"/>
              <w:bottom w:val="nil"/>
              <w:right w:val="nil"/>
            </w:tcBorders>
            <w:vAlign w:val="center"/>
          </w:tcPr>
          <w:p w14:paraId="1E47A0B2" w14:textId="66AAF9BA"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0.00</w:t>
            </w:r>
            <w:r w:rsidRPr="00AD0D8F">
              <w:rPr>
                <w:rFonts w:asciiTheme="minorHAnsi" w:hAnsiTheme="minorHAnsi" w:cstheme="minorHAnsi"/>
                <w:iCs/>
                <w:color w:val="auto"/>
                <w:kern w:val="24"/>
              </w:rPr>
              <w:t>​</w:t>
            </w:r>
          </w:p>
        </w:tc>
        <w:tc>
          <w:tcPr>
            <w:tcW w:w="810" w:type="dxa"/>
            <w:tcBorders>
              <w:top w:val="single" w:sz="8" w:space="0" w:color="455560"/>
              <w:left w:val="nil"/>
              <w:bottom w:val="nil"/>
            </w:tcBorders>
            <w:vAlign w:val="center"/>
          </w:tcPr>
          <w:p w14:paraId="3CEC99D7" w14:textId="483B3C6C"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0.00</w:t>
            </w:r>
            <w:r w:rsidRPr="00AD0D8F">
              <w:rPr>
                <w:rFonts w:asciiTheme="minorHAnsi" w:hAnsiTheme="minorHAnsi" w:cstheme="minorHAnsi"/>
                <w:iCs/>
                <w:color w:val="auto"/>
                <w:kern w:val="24"/>
              </w:rPr>
              <w:t>​</w:t>
            </w:r>
          </w:p>
        </w:tc>
      </w:tr>
    </w:tbl>
    <w:p w14:paraId="331F757D" w14:textId="77777777" w:rsidR="00F3401D" w:rsidRPr="00AD0D8F" w:rsidRDefault="00F3401D" w:rsidP="00F3401D">
      <w:pPr>
        <w:pStyle w:val="Heading4"/>
        <w:spacing w:after="0"/>
        <w:rPr>
          <w:sz w:val="20"/>
          <w:szCs w:val="20"/>
        </w:rPr>
      </w:pPr>
    </w:p>
    <w:p w14:paraId="4F55646C" w14:textId="533965D0" w:rsidR="00F3401D" w:rsidRDefault="00F3401D" w:rsidP="00F3401D">
      <w:pPr>
        <w:pStyle w:val="Heading4"/>
        <w:spacing w:after="0"/>
        <w:rPr>
          <w:color w:val="000000" w:themeColor="text1"/>
        </w:rPr>
      </w:pPr>
      <w:r>
        <w:t>Fem</w:t>
      </w:r>
      <w:r w:rsidRPr="00344B11">
        <w:t>ales</w:t>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3"/>
        <w:tblW w:w="978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75"/>
        <w:gridCol w:w="774"/>
        <w:gridCol w:w="1403"/>
        <w:gridCol w:w="1416"/>
        <w:gridCol w:w="1549"/>
        <w:gridCol w:w="802"/>
        <w:gridCol w:w="960"/>
        <w:gridCol w:w="802"/>
        <w:gridCol w:w="900"/>
      </w:tblGrid>
      <w:tr w:rsidR="00E7783D" w:rsidRPr="00F3401D" w14:paraId="60C37845" w14:textId="77777777" w:rsidTr="00AD0D8F">
        <w:tc>
          <w:tcPr>
            <w:tcW w:w="1175" w:type="dxa"/>
            <w:tcBorders>
              <w:top w:val="nil"/>
              <w:bottom w:val="nil"/>
              <w:right w:val="nil"/>
            </w:tcBorders>
            <w:shd w:val="clear" w:color="auto" w:fill="244D7A"/>
          </w:tcPr>
          <w:p w14:paraId="30B25681" w14:textId="63C5F3C8"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Age</w:t>
            </w:r>
          </w:p>
        </w:tc>
        <w:tc>
          <w:tcPr>
            <w:tcW w:w="774" w:type="dxa"/>
            <w:tcBorders>
              <w:top w:val="nil"/>
              <w:left w:val="nil"/>
              <w:bottom w:val="nil"/>
              <w:right w:val="nil"/>
            </w:tcBorders>
            <w:shd w:val="clear" w:color="auto" w:fill="244D7A"/>
          </w:tcPr>
          <w:p w14:paraId="44AD644F" w14:textId="3C2625B6"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Salary scale</w:t>
            </w:r>
          </w:p>
        </w:tc>
        <w:tc>
          <w:tcPr>
            <w:tcW w:w="1403" w:type="dxa"/>
            <w:tcBorders>
              <w:top w:val="nil"/>
              <w:left w:val="nil"/>
              <w:bottom w:val="nil"/>
              <w:right w:val="nil"/>
            </w:tcBorders>
            <w:shd w:val="clear" w:color="auto" w:fill="244D7A"/>
          </w:tcPr>
          <w:p w14:paraId="4AEE158C" w14:textId="1E8179BB"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416" w:type="dxa"/>
            <w:tcBorders>
              <w:top w:val="nil"/>
              <w:left w:val="nil"/>
              <w:bottom w:val="nil"/>
              <w:right w:val="nil"/>
            </w:tcBorders>
            <w:shd w:val="clear" w:color="auto" w:fill="244D7A"/>
          </w:tcPr>
          <w:p w14:paraId="2ABD7673" w14:textId="6827C0C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549" w:type="dxa"/>
            <w:tcBorders>
              <w:top w:val="nil"/>
              <w:left w:val="nil"/>
              <w:bottom w:val="nil"/>
              <w:right w:val="nil"/>
            </w:tcBorders>
            <w:shd w:val="clear" w:color="auto" w:fill="244D7A"/>
          </w:tcPr>
          <w:p w14:paraId="4175E468" w14:textId="581B0421"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02" w:type="dxa"/>
            <w:tcBorders>
              <w:top w:val="nil"/>
              <w:left w:val="nil"/>
              <w:bottom w:val="nil"/>
              <w:right w:val="nil"/>
            </w:tcBorders>
            <w:shd w:val="clear" w:color="auto" w:fill="244D7A"/>
          </w:tcPr>
          <w:p w14:paraId="62C84052" w14:textId="1F7A5988"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960" w:type="dxa"/>
            <w:tcBorders>
              <w:top w:val="nil"/>
              <w:left w:val="nil"/>
              <w:bottom w:val="nil"/>
              <w:right w:val="nil"/>
            </w:tcBorders>
            <w:shd w:val="clear" w:color="auto" w:fill="244D7A"/>
          </w:tcPr>
          <w:p w14:paraId="37588220" w14:textId="33C96D5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02" w:type="dxa"/>
            <w:tcBorders>
              <w:top w:val="nil"/>
              <w:left w:val="nil"/>
              <w:bottom w:val="nil"/>
              <w:right w:val="nil"/>
            </w:tcBorders>
            <w:shd w:val="clear" w:color="auto" w:fill="244D7A"/>
          </w:tcPr>
          <w:p w14:paraId="5984D486" w14:textId="51740ED3"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900" w:type="dxa"/>
            <w:tcBorders>
              <w:top w:val="nil"/>
              <w:left w:val="nil"/>
              <w:bottom w:val="nil"/>
            </w:tcBorders>
            <w:shd w:val="clear" w:color="auto" w:fill="244D7A"/>
          </w:tcPr>
          <w:p w14:paraId="57D9FCC8" w14:textId="6C69904A"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tr w:rsidR="00A237C4" w:rsidRPr="00F3401D" w14:paraId="000C24E5" w14:textId="77777777" w:rsidTr="00AD0D8F">
        <w:tc>
          <w:tcPr>
            <w:tcW w:w="1175" w:type="dxa"/>
            <w:tcBorders>
              <w:top w:val="nil"/>
              <w:bottom w:val="single" w:sz="8" w:space="0" w:color="455560"/>
              <w:right w:val="nil"/>
            </w:tcBorders>
            <w:vAlign w:val="center"/>
          </w:tcPr>
          <w:p w14:paraId="1DB304E2" w14:textId="77777777" w:rsidR="00A237C4" w:rsidRPr="00AD0D8F" w:rsidRDefault="00A237C4" w:rsidP="00A237C4">
            <w:pPr>
              <w:spacing w:beforeLines="20" w:before="48" w:afterLines="20" w:after="48" w:line="220" w:lineRule="atLeast"/>
              <w:jc w:val="center"/>
              <w:rPr>
                <w:rFonts w:asciiTheme="minorHAnsi" w:hAnsiTheme="minorHAnsi" w:cstheme="minorHAnsi"/>
                <w:iCs/>
              </w:rPr>
            </w:pPr>
            <w:r w:rsidRPr="00AD0D8F">
              <w:rPr>
                <w:rFonts w:asciiTheme="minorHAnsi" w:hAnsiTheme="minorHAnsi" w:cstheme="minorHAnsi"/>
                <w:iCs/>
                <w:kern w:val="24"/>
                <w:sz w:val="22"/>
                <w:szCs w:val="22"/>
              </w:rPr>
              <w:t>20</w:t>
            </w:r>
          </w:p>
        </w:tc>
        <w:tc>
          <w:tcPr>
            <w:tcW w:w="774" w:type="dxa"/>
            <w:tcBorders>
              <w:top w:val="nil"/>
              <w:left w:val="nil"/>
              <w:bottom w:val="single" w:sz="8" w:space="0" w:color="455560"/>
              <w:right w:val="nil"/>
            </w:tcBorders>
            <w:vAlign w:val="center"/>
          </w:tcPr>
          <w:p w14:paraId="77CF2605" w14:textId="7ABFF9A9"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hAnsiTheme="minorHAnsi" w:cstheme="minorBidi"/>
              </w:rPr>
              <w:t>105</w:t>
            </w:r>
            <w:r w:rsidRPr="00AD0D8F">
              <w:rPr>
                <w:rFonts w:asciiTheme="minorHAnsi" w:hAnsiTheme="minorHAnsi" w:cstheme="minorBidi"/>
                <w:color w:val="auto"/>
              </w:rPr>
              <w:t>​</w:t>
            </w:r>
          </w:p>
        </w:tc>
        <w:tc>
          <w:tcPr>
            <w:tcW w:w="1403" w:type="dxa"/>
            <w:tcBorders>
              <w:top w:val="nil"/>
              <w:left w:val="nil"/>
              <w:bottom w:val="single" w:sz="8" w:space="0" w:color="455560"/>
              <w:right w:val="nil"/>
            </w:tcBorders>
            <w:vAlign w:val="center"/>
          </w:tcPr>
          <w:p w14:paraId="60F283F0" w14:textId="31D9B976"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hAnsiTheme="minorHAnsi" w:cstheme="minorBidi"/>
              </w:rPr>
              <w:t>0.10</w:t>
            </w:r>
            <w:r w:rsidRPr="00AD0D8F">
              <w:rPr>
                <w:rFonts w:asciiTheme="minorHAnsi" w:hAnsiTheme="minorHAnsi" w:cstheme="minorBidi"/>
                <w:color w:val="auto"/>
              </w:rPr>
              <w:t>​</w:t>
            </w:r>
          </w:p>
        </w:tc>
        <w:tc>
          <w:tcPr>
            <w:tcW w:w="1416" w:type="dxa"/>
            <w:tcBorders>
              <w:top w:val="nil"/>
              <w:left w:val="nil"/>
              <w:bottom w:val="single" w:sz="8" w:space="0" w:color="455560"/>
              <w:right w:val="nil"/>
            </w:tcBorders>
            <w:vAlign w:val="center"/>
          </w:tcPr>
          <w:p w14:paraId="52BC88FF" w14:textId="08ACC175"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eastAsiaTheme="minorEastAsia" w:hAnsiTheme="minorHAnsi"/>
                <w:color w:val="auto"/>
                <w:sz w:val="22"/>
                <w:szCs w:val="22"/>
              </w:rPr>
              <w:t>310.13</w:t>
            </w:r>
          </w:p>
        </w:tc>
        <w:tc>
          <w:tcPr>
            <w:tcW w:w="1549" w:type="dxa"/>
            <w:tcBorders>
              <w:top w:val="nil"/>
              <w:left w:val="nil"/>
              <w:bottom w:val="single" w:sz="8" w:space="0" w:color="455560"/>
              <w:right w:val="nil"/>
            </w:tcBorders>
            <w:vAlign w:val="center"/>
          </w:tcPr>
          <w:p w14:paraId="25E06D50" w14:textId="14FD5B39" w:rsidR="00A237C4" w:rsidRPr="00A00742"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373.90</w:t>
            </w:r>
            <w:r w:rsidRPr="00AD0D8F">
              <w:rPr>
                <w:rFonts w:asciiTheme="minorHAnsi" w:hAnsiTheme="minorHAnsi" w:cstheme="minorHAnsi"/>
                <w:iCs/>
                <w:color w:val="auto"/>
                <w:kern w:val="24"/>
              </w:rPr>
              <w:t>​</w:t>
            </w:r>
          </w:p>
        </w:tc>
        <w:tc>
          <w:tcPr>
            <w:tcW w:w="802" w:type="dxa"/>
            <w:tcBorders>
              <w:top w:val="nil"/>
              <w:left w:val="nil"/>
              <w:bottom w:val="single" w:sz="8" w:space="0" w:color="455560"/>
              <w:right w:val="nil"/>
            </w:tcBorders>
            <w:vAlign w:val="center"/>
          </w:tcPr>
          <w:p w14:paraId="2DCE6543" w14:textId="265644C9" w:rsidR="00A237C4" w:rsidRPr="00A00742" w:rsidRDefault="00A237C4" w:rsidP="00A237C4">
            <w:pPr>
              <w:spacing w:beforeLines="20" w:before="48" w:afterLines="20" w:after="48" w:line="220" w:lineRule="atLeast"/>
              <w:jc w:val="center"/>
              <w:rPr>
                <w:rFonts w:asciiTheme="minorHAnsi" w:hAnsiTheme="minorHAnsi" w:cstheme="minorHAnsi"/>
                <w:iCs/>
                <w:kern w:val="24"/>
              </w:rPr>
            </w:pPr>
            <w:r w:rsidRPr="00A00742">
              <w:rPr>
                <w:rFonts w:asciiTheme="minorHAnsi" w:hAnsiTheme="minorHAnsi" w:cstheme="minorHAnsi"/>
                <w:iCs/>
                <w:kern w:val="24"/>
              </w:rPr>
              <w:t>0.00</w:t>
            </w:r>
            <w:r w:rsidRPr="00A00742">
              <w:rPr>
                <w:rFonts w:asciiTheme="minorHAnsi" w:hAnsiTheme="minorHAnsi" w:cstheme="minorHAnsi"/>
                <w:iCs/>
                <w:color w:val="auto"/>
                <w:kern w:val="24"/>
              </w:rPr>
              <w:t>​</w:t>
            </w:r>
          </w:p>
        </w:tc>
        <w:tc>
          <w:tcPr>
            <w:tcW w:w="960" w:type="dxa"/>
            <w:tcBorders>
              <w:top w:val="nil"/>
              <w:left w:val="nil"/>
              <w:bottom w:val="single" w:sz="8" w:space="0" w:color="455560"/>
              <w:right w:val="nil"/>
            </w:tcBorders>
            <w:vAlign w:val="center"/>
          </w:tcPr>
          <w:p w14:paraId="620F94F4" w14:textId="5BFEE268"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c>
          <w:tcPr>
            <w:tcW w:w="802" w:type="dxa"/>
            <w:tcBorders>
              <w:top w:val="nil"/>
              <w:left w:val="nil"/>
              <w:bottom w:val="single" w:sz="8" w:space="0" w:color="455560"/>
              <w:right w:val="nil"/>
            </w:tcBorders>
            <w:vAlign w:val="center"/>
          </w:tcPr>
          <w:p w14:paraId="0AD237C6" w14:textId="5C4089FE"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c>
          <w:tcPr>
            <w:tcW w:w="900" w:type="dxa"/>
            <w:tcBorders>
              <w:top w:val="nil"/>
              <w:left w:val="nil"/>
              <w:bottom w:val="single" w:sz="8" w:space="0" w:color="455560"/>
            </w:tcBorders>
            <w:vAlign w:val="center"/>
          </w:tcPr>
          <w:p w14:paraId="3DB26652" w14:textId="32FAC9CA"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r>
      <w:tr w:rsidR="00A237C4" w:rsidRPr="00F3401D" w14:paraId="2372FAC2" w14:textId="77777777" w:rsidTr="00AD0D8F">
        <w:tc>
          <w:tcPr>
            <w:tcW w:w="1175" w:type="dxa"/>
            <w:tcBorders>
              <w:top w:val="single" w:sz="8" w:space="0" w:color="455560"/>
              <w:bottom w:val="single" w:sz="8" w:space="0" w:color="455560"/>
              <w:right w:val="nil"/>
            </w:tcBorders>
            <w:vAlign w:val="center"/>
          </w:tcPr>
          <w:p w14:paraId="6CF01525" w14:textId="77777777" w:rsidR="00A237C4" w:rsidRPr="00F63267" w:rsidRDefault="00A237C4" w:rsidP="00A237C4">
            <w:pPr>
              <w:spacing w:beforeLines="20" w:before="48" w:afterLines="20" w:after="48" w:line="220" w:lineRule="atLeast"/>
              <w:jc w:val="center"/>
              <w:rPr>
                <w:rFonts w:asciiTheme="minorHAnsi" w:hAnsiTheme="minorHAnsi" w:cstheme="minorHAnsi"/>
                <w:iCs/>
              </w:rPr>
            </w:pPr>
            <w:r w:rsidRPr="00F63267">
              <w:rPr>
                <w:rFonts w:asciiTheme="minorHAnsi" w:hAnsiTheme="minorHAnsi" w:cstheme="minorHAnsi"/>
                <w:iCs/>
                <w:kern w:val="24"/>
                <w:sz w:val="22"/>
                <w:szCs w:val="22"/>
              </w:rPr>
              <w:t>25</w:t>
            </w:r>
          </w:p>
        </w:tc>
        <w:tc>
          <w:tcPr>
            <w:tcW w:w="774" w:type="dxa"/>
            <w:tcBorders>
              <w:top w:val="single" w:sz="8" w:space="0" w:color="455560"/>
              <w:left w:val="nil"/>
              <w:bottom w:val="single" w:sz="8" w:space="0" w:color="455560"/>
              <w:right w:val="nil"/>
            </w:tcBorders>
            <w:vAlign w:val="center"/>
          </w:tcPr>
          <w:p w14:paraId="51680FDF" w14:textId="546B4D17" w:rsidR="00A237C4" w:rsidRPr="00797F61"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117</w:t>
            </w:r>
            <w:r w:rsidRPr="00F63267">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2035C6FD" w14:textId="528C0D1A" w:rsidR="00A237C4" w:rsidRPr="00C52057" w:rsidRDefault="00A237C4" w:rsidP="00A237C4">
            <w:pPr>
              <w:spacing w:beforeLines="20" w:before="48" w:afterLines="20" w:after="48" w:line="220" w:lineRule="atLeast"/>
              <w:jc w:val="center"/>
              <w:rPr>
                <w:rFonts w:asciiTheme="minorHAnsi" w:hAnsiTheme="minorHAnsi" w:cstheme="minorHAnsi"/>
                <w:iCs/>
                <w:kern w:val="24"/>
              </w:rPr>
            </w:pPr>
            <w:r w:rsidRPr="00797F61">
              <w:rPr>
                <w:rFonts w:asciiTheme="minorHAnsi" w:hAnsiTheme="minorHAnsi" w:cstheme="minorHAnsi"/>
                <w:iCs/>
                <w:kern w:val="24"/>
              </w:rPr>
              <w:t>0.10</w:t>
            </w:r>
            <w:r w:rsidRPr="00C52057">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A1F9DBE" w14:textId="3477ED13" w:rsidR="00A237C4" w:rsidRPr="00C52057" w:rsidRDefault="00A237C4" w:rsidP="00A237C4">
            <w:pPr>
              <w:spacing w:beforeLines="20" w:before="48" w:afterLines="20" w:after="48" w:line="220" w:lineRule="atLeast"/>
              <w:jc w:val="center"/>
              <w:rPr>
                <w:rFonts w:asciiTheme="minorHAnsi" w:hAnsiTheme="minorHAnsi" w:cstheme="minorHAnsi"/>
                <w:iCs/>
                <w:kern w:val="24"/>
              </w:rPr>
            </w:pPr>
            <w:r w:rsidRPr="00C52057">
              <w:rPr>
                <w:rFonts w:asciiTheme="minorHAnsi" w:eastAsiaTheme="minorHAnsi" w:hAnsiTheme="minorHAnsi" w:cstheme="minorHAnsi"/>
                <w:iCs/>
                <w:color w:val="auto"/>
                <w:kern w:val="24"/>
                <w:sz w:val="22"/>
                <w:szCs w:val="22"/>
              </w:rPr>
              <w:t>208.68</w:t>
            </w:r>
          </w:p>
        </w:tc>
        <w:tc>
          <w:tcPr>
            <w:tcW w:w="1549" w:type="dxa"/>
            <w:tcBorders>
              <w:top w:val="single" w:sz="8" w:space="0" w:color="455560"/>
              <w:left w:val="nil"/>
              <w:bottom w:val="single" w:sz="8" w:space="0" w:color="455560"/>
              <w:right w:val="nil"/>
            </w:tcBorders>
            <w:vAlign w:val="center"/>
          </w:tcPr>
          <w:p w14:paraId="39F366F4" w14:textId="6E81471F"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C52057">
              <w:rPr>
                <w:rFonts w:asciiTheme="minorHAnsi" w:hAnsiTheme="minorHAnsi" w:cstheme="minorHAnsi"/>
                <w:iCs/>
                <w:kern w:val="24"/>
              </w:rPr>
              <w:t>251.55</w:t>
            </w:r>
            <w:r w:rsidRPr="00C52057">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9C16BD1" w14:textId="036510DA"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0.10</w:t>
            </w:r>
            <w:r w:rsidRPr="00691CC5">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C520E37" w14:textId="45995DCC"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0.07</w:t>
            </w:r>
            <w:r w:rsidRPr="00691CC5">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2F80CEE" w14:textId="537ACDD2"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0.02</w:t>
            </w:r>
            <w:r w:rsidRPr="00691CC5">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5114BBBC" w14:textId="38D70F2B"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0.01</w:t>
            </w:r>
            <w:r w:rsidRPr="00691CC5">
              <w:rPr>
                <w:rFonts w:asciiTheme="minorHAnsi" w:hAnsiTheme="minorHAnsi" w:cstheme="minorHAnsi"/>
                <w:iCs/>
                <w:color w:val="auto"/>
                <w:kern w:val="24"/>
              </w:rPr>
              <w:t>​</w:t>
            </w:r>
          </w:p>
        </w:tc>
      </w:tr>
      <w:tr w:rsidR="00A237C4" w:rsidRPr="00F3401D" w14:paraId="56C825B6" w14:textId="77777777" w:rsidTr="00AD0D8F">
        <w:tc>
          <w:tcPr>
            <w:tcW w:w="1175" w:type="dxa"/>
            <w:tcBorders>
              <w:top w:val="single" w:sz="8" w:space="0" w:color="455560"/>
              <w:bottom w:val="single" w:sz="8" w:space="0" w:color="455560"/>
              <w:right w:val="nil"/>
            </w:tcBorders>
            <w:vAlign w:val="center"/>
          </w:tcPr>
          <w:p w14:paraId="0D0AA7B1" w14:textId="77777777" w:rsidR="00A237C4" w:rsidRPr="00691CC5" w:rsidRDefault="00A237C4" w:rsidP="00A237C4">
            <w:pPr>
              <w:spacing w:beforeLines="20" w:before="48" w:afterLines="20" w:after="48" w:line="220" w:lineRule="atLeast"/>
              <w:jc w:val="center"/>
              <w:rPr>
                <w:rFonts w:asciiTheme="minorHAnsi" w:hAnsiTheme="minorHAnsi" w:cstheme="minorHAnsi"/>
                <w:iCs/>
              </w:rPr>
            </w:pPr>
            <w:r w:rsidRPr="00691CC5">
              <w:rPr>
                <w:rFonts w:asciiTheme="minorHAnsi" w:hAnsiTheme="minorHAnsi" w:cstheme="minorHAnsi"/>
                <w:iCs/>
                <w:kern w:val="24"/>
                <w:sz w:val="22"/>
                <w:szCs w:val="22"/>
              </w:rPr>
              <w:t>30</w:t>
            </w:r>
          </w:p>
        </w:tc>
        <w:tc>
          <w:tcPr>
            <w:tcW w:w="774" w:type="dxa"/>
            <w:tcBorders>
              <w:top w:val="single" w:sz="8" w:space="0" w:color="455560"/>
              <w:left w:val="nil"/>
              <w:bottom w:val="single" w:sz="8" w:space="0" w:color="455560"/>
              <w:right w:val="nil"/>
            </w:tcBorders>
            <w:vAlign w:val="center"/>
          </w:tcPr>
          <w:p w14:paraId="6CCFE227" w14:textId="6C7ECDAA"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131</w:t>
            </w:r>
            <w:r w:rsidRPr="00691CC5">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7E23DC7D" w14:textId="6887BAA0" w:rsidR="00A237C4" w:rsidRPr="00A5241A"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0.14</w:t>
            </w:r>
            <w:r w:rsidRPr="00691CC5">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0CE9E06" w14:textId="21BD65F4"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eastAsiaTheme="minorHAnsi" w:hAnsiTheme="minorHAnsi" w:cstheme="minorHAnsi"/>
                <w:iCs/>
                <w:color w:val="auto"/>
                <w:kern w:val="24"/>
                <w:sz w:val="22"/>
                <w:szCs w:val="22"/>
              </w:rPr>
              <w:t>174.93</w:t>
            </w:r>
          </w:p>
        </w:tc>
        <w:tc>
          <w:tcPr>
            <w:tcW w:w="1549" w:type="dxa"/>
            <w:tcBorders>
              <w:top w:val="single" w:sz="8" w:space="0" w:color="455560"/>
              <w:left w:val="nil"/>
              <w:bottom w:val="single" w:sz="8" w:space="0" w:color="455560"/>
              <w:right w:val="nil"/>
            </w:tcBorders>
            <w:vAlign w:val="center"/>
          </w:tcPr>
          <w:p w14:paraId="51911456" w14:textId="4C355A38"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210.83</w:t>
            </w:r>
            <w:r w:rsidRPr="00F956F0">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5C5FE02" w14:textId="35D2F8BA"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0.13</w:t>
            </w:r>
            <w:r w:rsidRPr="00F956F0">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57AE799A" w14:textId="799CBE00"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0.10</w:t>
            </w:r>
            <w:r w:rsidRPr="00F956F0">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B7BF1D8" w14:textId="0D31FC51"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0.03</w:t>
            </w:r>
            <w:r w:rsidRPr="00F956F0">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CF9D0B3" w14:textId="51A95BB5"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0.02</w:t>
            </w:r>
            <w:r w:rsidRPr="00F956F0">
              <w:rPr>
                <w:rFonts w:asciiTheme="minorHAnsi" w:hAnsiTheme="minorHAnsi" w:cstheme="minorHAnsi"/>
                <w:iCs/>
                <w:color w:val="auto"/>
                <w:kern w:val="24"/>
              </w:rPr>
              <w:t>​</w:t>
            </w:r>
          </w:p>
        </w:tc>
      </w:tr>
      <w:tr w:rsidR="00A237C4" w:rsidRPr="00F3401D" w14:paraId="06754D27" w14:textId="77777777" w:rsidTr="00AD0D8F">
        <w:tc>
          <w:tcPr>
            <w:tcW w:w="1175" w:type="dxa"/>
            <w:tcBorders>
              <w:top w:val="single" w:sz="8" w:space="0" w:color="455560"/>
              <w:bottom w:val="single" w:sz="8" w:space="0" w:color="455560"/>
              <w:right w:val="nil"/>
            </w:tcBorders>
            <w:vAlign w:val="center"/>
          </w:tcPr>
          <w:p w14:paraId="575BAA48" w14:textId="77777777" w:rsidR="00A237C4" w:rsidRPr="00BB1DFA" w:rsidRDefault="00A237C4" w:rsidP="00A237C4">
            <w:pPr>
              <w:spacing w:beforeLines="20" w:before="48" w:afterLines="20" w:after="48" w:line="220" w:lineRule="atLeast"/>
              <w:jc w:val="center"/>
              <w:rPr>
                <w:rFonts w:asciiTheme="minorHAnsi" w:hAnsiTheme="minorHAnsi" w:cstheme="minorHAnsi"/>
                <w:iCs/>
              </w:rPr>
            </w:pPr>
            <w:r w:rsidRPr="00F956F0">
              <w:rPr>
                <w:rFonts w:asciiTheme="minorHAnsi" w:hAnsiTheme="minorHAnsi" w:cstheme="minorHAnsi"/>
                <w:iCs/>
                <w:kern w:val="24"/>
                <w:sz w:val="22"/>
                <w:szCs w:val="22"/>
              </w:rPr>
              <w:t>35</w:t>
            </w:r>
          </w:p>
        </w:tc>
        <w:tc>
          <w:tcPr>
            <w:tcW w:w="774" w:type="dxa"/>
            <w:tcBorders>
              <w:top w:val="single" w:sz="8" w:space="0" w:color="455560"/>
              <w:left w:val="nil"/>
              <w:bottom w:val="single" w:sz="8" w:space="0" w:color="455560"/>
              <w:right w:val="nil"/>
            </w:tcBorders>
            <w:vAlign w:val="center"/>
          </w:tcPr>
          <w:p w14:paraId="72A06CF6" w14:textId="3CBFD848"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144</w:t>
            </w:r>
            <w:r w:rsidRPr="00BB1DFA">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F810D49" w14:textId="26D912C8"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0.24</w:t>
            </w:r>
            <w:r w:rsidRPr="00BB1DFA">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64E75CFE" w14:textId="70B24737"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eastAsiaTheme="minorHAnsi" w:hAnsiTheme="minorHAnsi" w:cstheme="minorHAnsi"/>
                <w:iCs/>
                <w:color w:val="auto"/>
                <w:kern w:val="24"/>
                <w:sz w:val="22"/>
                <w:szCs w:val="22"/>
              </w:rPr>
              <w:t>150.98</w:t>
            </w:r>
          </w:p>
        </w:tc>
        <w:tc>
          <w:tcPr>
            <w:tcW w:w="1549" w:type="dxa"/>
            <w:tcBorders>
              <w:top w:val="single" w:sz="8" w:space="0" w:color="455560"/>
              <w:left w:val="nil"/>
              <w:bottom w:val="single" w:sz="8" w:space="0" w:color="455560"/>
              <w:right w:val="nil"/>
            </w:tcBorders>
            <w:vAlign w:val="center"/>
          </w:tcPr>
          <w:p w14:paraId="1AE77450" w14:textId="57D61241"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181.90</w:t>
            </w:r>
            <w:r w:rsidRPr="00BB1DFA">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C65D417" w14:textId="2B48E11A"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0.26</w:t>
            </w:r>
            <w:r w:rsidRPr="00BB1DFA">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29864495" w14:textId="25F06D73"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0.19</w:t>
            </w:r>
            <w:r w:rsidRPr="00BB1DFA">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F01D3E2" w14:textId="68C436C9"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0.05</w:t>
            </w:r>
            <w:r w:rsidRPr="00BB1DFA">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242A5115" w14:textId="67C3A73A"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0.04</w:t>
            </w:r>
            <w:r w:rsidRPr="00294B99">
              <w:rPr>
                <w:rFonts w:asciiTheme="minorHAnsi" w:hAnsiTheme="minorHAnsi" w:cstheme="minorHAnsi"/>
                <w:iCs/>
                <w:color w:val="auto"/>
                <w:kern w:val="24"/>
              </w:rPr>
              <w:t>​</w:t>
            </w:r>
          </w:p>
        </w:tc>
      </w:tr>
      <w:tr w:rsidR="00A237C4" w:rsidRPr="00F3401D" w14:paraId="262B727C" w14:textId="77777777" w:rsidTr="00AD0D8F">
        <w:tc>
          <w:tcPr>
            <w:tcW w:w="1175" w:type="dxa"/>
            <w:tcBorders>
              <w:top w:val="single" w:sz="8" w:space="0" w:color="455560"/>
              <w:bottom w:val="single" w:sz="8" w:space="0" w:color="455560"/>
              <w:right w:val="nil"/>
            </w:tcBorders>
            <w:vAlign w:val="center"/>
          </w:tcPr>
          <w:p w14:paraId="5D1D7F53" w14:textId="77777777" w:rsidR="00A237C4" w:rsidRPr="00294B99" w:rsidRDefault="00A237C4" w:rsidP="00A237C4">
            <w:pPr>
              <w:spacing w:beforeLines="20" w:before="48" w:afterLines="20" w:after="48" w:line="220" w:lineRule="atLeast"/>
              <w:jc w:val="center"/>
              <w:rPr>
                <w:rFonts w:asciiTheme="minorHAnsi" w:hAnsiTheme="minorHAnsi" w:cstheme="minorHAnsi"/>
                <w:iCs/>
              </w:rPr>
            </w:pPr>
            <w:r w:rsidRPr="00294B99">
              <w:rPr>
                <w:rFonts w:asciiTheme="minorHAnsi" w:hAnsiTheme="minorHAnsi" w:cstheme="minorHAnsi"/>
                <w:iCs/>
                <w:kern w:val="24"/>
                <w:sz w:val="22"/>
                <w:szCs w:val="22"/>
              </w:rPr>
              <w:t>40</w:t>
            </w:r>
          </w:p>
        </w:tc>
        <w:tc>
          <w:tcPr>
            <w:tcW w:w="774" w:type="dxa"/>
            <w:tcBorders>
              <w:top w:val="single" w:sz="8" w:space="0" w:color="455560"/>
              <w:left w:val="nil"/>
              <w:bottom w:val="single" w:sz="8" w:space="0" w:color="455560"/>
              <w:right w:val="nil"/>
            </w:tcBorders>
            <w:vAlign w:val="center"/>
          </w:tcPr>
          <w:p w14:paraId="4FAA68CB" w14:textId="57F34C89"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151</w:t>
            </w:r>
            <w:r w:rsidRPr="00294B99">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57832530" w14:textId="2BCC1643"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0.38</w:t>
            </w:r>
            <w:r w:rsidRPr="00294B99">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D367C6D" w14:textId="4F7ED0CB"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eastAsiaTheme="minorHAnsi" w:hAnsiTheme="minorHAnsi" w:cstheme="minorHAnsi"/>
                <w:iCs/>
                <w:color w:val="auto"/>
                <w:kern w:val="24"/>
                <w:sz w:val="22"/>
                <w:szCs w:val="22"/>
              </w:rPr>
              <w:t>125.66</w:t>
            </w:r>
          </w:p>
        </w:tc>
        <w:tc>
          <w:tcPr>
            <w:tcW w:w="1549" w:type="dxa"/>
            <w:tcBorders>
              <w:top w:val="single" w:sz="8" w:space="0" w:color="455560"/>
              <w:left w:val="nil"/>
              <w:bottom w:val="single" w:sz="8" w:space="0" w:color="455560"/>
              <w:right w:val="nil"/>
            </w:tcBorders>
            <w:vAlign w:val="center"/>
          </w:tcPr>
          <w:p w14:paraId="0E504136" w14:textId="4F1CEE63"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151.34</w:t>
            </w:r>
            <w:r w:rsidRPr="00294B9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7E25F67" w14:textId="23F2225C"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0.39</w:t>
            </w:r>
            <w:r w:rsidRPr="00294B99">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0272C165" w14:textId="773C28C2" w:rsidR="00A237C4" w:rsidRPr="00D840A7" w:rsidRDefault="00A237C4" w:rsidP="00A237C4">
            <w:pPr>
              <w:spacing w:beforeLines="20" w:before="48" w:afterLines="20" w:after="48" w:line="220" w:lineRule="atLeast"/>
              <w:jc w:val="center"/>
              <w:rPr>
                <w:rFonts w:asciiTheme="minorHAnsi" w:hAnsiTheme="minorHAnsi" w:cstheme="minorHAnsi"/>
                <w:iCs/>
                <w:kern w:val="24"/>
              </w:rPr>
            </w:pPr>
            <w:r w:rsidRPr="00D840A7">
              <w:rPr>
                <w:rFonts w:asciiTheme="minorHAnsi" w:hAnsiTheme="minorHAnsi" w:cstheme="minorHAnsi"/>
                <w:iCs/>
                <w:kern w:val="24"/>
              </w:rPr>
              <w:t>0.29</w:t>
            </w:r>
            <w:r w:rsidRPr="00D840A7">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07720468" w14:textId="6AEAD65E" w:rsidR="00A237C4" w:rsidRPr="00F5616A" w:rsidRDefault="00A237C4" w:rsidP="00A237C4">
            <w:pPr>
              <w:spacing w:beforeLines="20" w:before="48" w:afterLines="20" w:after="48" w:line="220" w:lineRule="atLeast"/>
              <w:jc w:val="center"/>
              <w:rPr>
                <w:rFonts w:asciiTheme="minorHAnsi" w:hAnsiTheme="minorHAnsi" w:cstheme="minorHAnsi"/>
                <w:iCs/>
                <w:kern w:val="24"/>
              </w:rPr>
            </w:pPr>
            <w:r w:rsidRPr="00D840A7">
              <w:rPr>
                <w:rFonts w:asciiTheme="minorHAnsi" w:hAnsiTheme="minorHAnsi" w:cstheme="minorHAnsi"/>
                <w:iCs/>
                <w:kern w:val="24"/>
              </w:rPr>
              <w:t>0.08</w:t>
            </w:r>
            <w:r w:rsidRPr="00D840A7">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C1FAC8D" w14:textId="45383FCE"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5616A">
              <w:rPr>
                <w:rFonts w:asciiTheme="minorHAnsi" w:hAnsiTheme="minorHAnsi" w:cstheme="minorHAnsi"/>
                <w:iCs/>
                <w:kern w:val="24"/>
              </w:rPr>
              <w:t>0.06</w:t>
            </w:r>
            <w:r w:rsidRPr="00F5616A">
              <w:rPr>
                <w:rFonts w:asciiTheme="minorHAnsi" w:hAnsiTheme="minorHAnsi" w:cstheme="minorHAnsi"/>
                <w:iCs/>
                <w:color w:val="auto"/>
                <w:kern w:val="24"/>
              </w:rPr>
              <w:t>​</w:t>
            </w:r>
          </w:p>
        </w:tc>
      </w:tr>
      <w:tr w:rsidR="00A237C4" w:rsidRPr="00F3401D" w14:paraId="0E664339" w14:textId="77777777" w:rsidTr="00AD0D8F">
        <w:tc>
          <w:tcPr>
            <w:tcW w:w="1175" w:type="dxa"/>
            <w:tcBorders>
              <w:top w:val="single" w:sz="8" w:space="0" w:color="455560"/>
              <w:bottom w:val="single" w:sz="8" w:space="0" w:color="455560"/>
              <w:right w:val="nil"/>
            </w:tcBorders>
            <w:vAlign w:val="center"/>
          </w:tcPr>
          <w:p w14:paraId="6BD3BE5C" w14:textId="77777777" w:rsidR="00A237C4" w:rsidRPr="00F457FE" w:rsidRDefault="00A237C4" w:rsidP="00A237C4">
            <w:pPr>
              <w:spacing w:beforeLines="20" w:before="48" w:afterLines="20" w:after="48" w:line="220" w:lineRule="atLeast"/>
              <w:jc w:val="center"/>
              <w:rPr>
                <w:rFonts w:asciiTheme="minorHAnsi" w:hAnsiTheme="minorHAnsi" w:cstheme="minorHAnsi"/>
                <w:iCs/>
              </w:rPr>
            </w:pPr>
            <w:r w:rsidRPr="00F457FE">
              <w:rPr>
                <w:rFonts w:asciiTheme="minorHAnsi" w:hAnsiTheme="minorHAnsi" w:cstheme="minorHAnsi"/>
                <w:iCs/>
                <w:kern w:val="24"/>
                <w:sz w:val="22"/>
                <w:szCs w:val="22"/>
              </w:rPr>
              <w:t>45</w:t>
            </w:r>
          </w:p>
        </w:tc>
        <w:tc>
          <w:tcPr>
            <w:tcW w:w="774" w:type="dxa"/>
            <w:tcBorders>
              <w:top w:val="single" w:sz="8" w:space="0" w:color="455560"/>
              <w:left w:val="nil"/>
              <w:bottom w:val="single" w:sz="8" w:space="0" w:color="455560"/>
              <w:right w:val="nil"/>
            </w:tcBorders>
            <w:vAlign w:val="center"/>
          </w:tcPr>
          <w:p w14:paraId="353ABBEB" w14:textId="4CAC3352"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159</w:t>
            </w:r>
            <w:r w:rsidRPr="00F457FE">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294800D0" w14:textId="0539A04B"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0.62</w:t>
            </w:r>
            <w:r w:rsidRPr="00F457FE">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A53E841" w14:textId="0EC70603"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eastAsiaTheme="minorHAnsi" w:hAnsiTheme="minorHAnsi" w:cstheme="minorHAnsi"/>
                <w:iCs/>
                <w:color w:val="auto"/>
                <w:kern w:val="24"/>
                <w:sz w:val="22"/>
                <w:szCs w:val="22"/>
              </w:rPr>
              <w:t>117.26</w:t>
            </w:r>
          </w:p>
        </w:tc>
        <w:tc>
          <w:tcPr>
            <w:tcW w:w="1549" w:type="dxa"/>
            <w:tcBorders>
              <w:top w:val="single" w:sz="8" w:space="0" w:color="455560"/>
              <w:left w:val="nil"/>
              <w:bottom w:val="single" w:sz="8" w:space="0" w:color="455560"/>
              <w:right w:val="nil"/>
            </w:tcBorders>
            <w:vAlign w:val="center"/>
          </w:tcPr>
          <w:p w14:paraId="1001E467" w14:textId="218CECA8"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141.21</w:t>
            </w:r>
            <w:r w:rsidRPr="00F457FE">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3A3EE47" w14:textId="365FA43A"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0.52</w:t>
            </w:r>
            <w:r w:rsidRPr="00F457FE">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32F8EFBD" w14:textId="0E2C0B95"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0.39</w:t>
            </w:r>
            <w:r w:rsidRPr="00F457FE">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311E640" w14:textId="4AC503AF"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0.10</w:t>
            </w:r>
            <w:r w:rsidRPr="00F457FE">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0BAEEC2" w14:textId="43FF0C66"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0.08</w:t>
            </w:r>
            <w:r w:rsidRPr="005E4A29">
              <w:rPr>
                <w:rFonts w:asciiTheme="minorHAnsi" w:hAnsiTheme="minorHAnsi" w:cstheme="minorHAnsi"/>
                <w:iCs/>
                <w:color w:val="auto"/>
                <w:kern w:val="24"/>
              </w:rPr>
              <w:t>​</w:t>
            </w:r>
          </w:p>
        </w:tc>
      </w:tr>
      <w:tr w:rsidR="00A237C4" w:rsidRPr="00F3401D" w14:paraId="2ECF3783" w14:textId="77777777" w:rsidTr="00AD0D8F">
        <w:tc>
          <w:tcPr>
            <w:tcW w:w="1175" w:type="dxa"/>
            <w:tcBorders>
              <w:top w:val="single" w:sz="8" w:space="0" w:color="455560"/>
              <w:bottom w:val="single" w:sz="8" w:space="0" w:color="455560"/>
              <w:right w:val="nil"/>
            </w:tcBorders>
            <w:vAlign w:val="center"/>
          </w:tcPr>
          <w:p w14:paraId="042DA4C6" w14:textId="77777777" w:rsidR="00A237C4" w:rsidRPr="005E4A29" w:rsidRDefault="00A237C4" w:rsidP="00A237C4">
            <w:pPr>
              <w:spacing w:beforeLines="20" w:before="48" w:afterLines="20" w:after="48" w:line="220" w:lineRule="atLeast"/>
              <w:jc w:val="center"/>
              <w:rPr>
                <w:rFonts w:asciiTheme="minorHAnsi" w:hAnsiTheme="minorHAnsi" w:cstheme="minorHAnsi"/>
                <w:iCs/>
              </w:rPr>
            </w:pPr>
            <w:r w:rsidRPr="005E4A29">
              <w:rPr>
                <w:rFonts w:asciiTheme="minorHAnsi" w:hAnsiTheme="minorHAnsi" w:cstheme="minorHAnsi"/>
                <w:iCs/>
                <w:kern w:val="24"/>
                <w:sz w:val="22"/>
                <w:szCs w:val="22"/>
              </w:rPr>
              <w:t>50</w:t>
            </w:r>
          </w:p>
        </w:tc>
        <w:tc>
          <w:tcPr>
            <w:tcW w:w="774" w:type="dxa"/>
            <w:tcBorders>
              <w:top w:val="single" w:sz="8" w:space="0" w:color="455560"/>
              <w:left w:val="nil"/>
              <w:bottom w:val="single" w:sz="8" w:space="0" w:color="455560"/>
              <w:right w:val="nil"/>
            </w:tcBorders>
            <w:vAlign w:val="center"/>
          </w:tcPr>
          <w:p w14:paraId="6616E2D8" w14:textId="62AE21EE"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167</w:t>
            </w:r>
            <w:r w:rsidRPr="005E4A29">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17096B09" w14:textId="4D588D37"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0.90</w:t>
            </w:r>
            <w:r w:rsidRPr="005E4A29">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F5C07B1" w14:textId="592E4415"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eastAsiaTheme="minorHAnsi" w:hAnsiTheme="minorHAnsi" w:cstheme="minorHAnsi"/>
                <w:iCs/>
                <w:color w:val="auto"/>
                <w:kern w:val="24"/>
                <w:sz w:val="22"/>
                <w:szCs w:val="22"/>
              </w:rPr>
              <w:t>98.86</w:t>
            </w:r>
          </w:p>
        </w:tc>
        <w:tc>
          <w:tcPr>
            <w:tcW w:w="1549" w:type="dxa"/>
            <w:tcBorders>
              <w:top w:val="single" w:sz="8" w:space="0" w:color="455560"/>
              <w:left w:val="nil"/>
              <w:bottom w:val="single" w:sz="8" w:space="0" w:color="455560"/>
              <w:right w:val="nil"/>
            </w:tcBorders>
            <w:vAlign w:val="center"/>
          </w:tcPr>
          <w:p w14:paraId="689FFFD1" w14:textId="5EF6AFF2"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118.92</w:t>
            </w:r>
            <w:r w:rsidRPr="005E4A2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D25F20E" w14:textId="38C8BA58"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0.97</w:t>
            </w:r>
            <w:r w:rsidRPr="005E4A29">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3C3E9F7" w14:textId="07A19D3C"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0.73</w:t>
            </w:r>
            <w:r w:rsidRPr="005E4A2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DF36B44" w14:textId="1A82F4BE"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0.24</w:t>
            </w:r>
            <w:r w:rsidRPr="005E4A29">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5E66F4EE" w14:textId="37A4A7C8"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0.18</w:t>
            </w:r>
            <w:r w:rsidRPr="00F32053">
              <w:rPr>
                <w:rFonts w:asciiTheme="minorHAnsi" w:hAnsiTheme="minorHAnsi" w:cstheme="minorHAnsi"/>
                <w:iCs/>
                <w:color w:val="auto"/>
                <w:kern w:val="24"/>
              </w:rPr>
              <w:t>​</w:t>
            </w:r>
          </w:p>
        </w:tc>
      </w:tr>
      <w:tr w:rsidR="00A237C4" w:rsidRPr="00F3401D" w14:paraId="2F91E78F" w14:textId="77777777" w:rsidTr="00AD0D8F">
        <w:tc>
          <w:tcPr>
            <w:tcW w:w="1175" w:type="dxa"/>
            <w:tcBorders>
              <w:top w:val="single" w:sz="8" w:space="0" w:color="455560"/>
              <w:bottom w:val="single" w:sz="8" w:space="0" w:color="455560"/>
              <w:right w:val="nil"/>
            </w:tcBorders>
            <w:vAlign w:val="center"/>
          </w:tcPr>
          <w:p w14:paraId="5E916964" w14:textId="77777777" w:rsidR="00A237C4" w:rsidRPr="00F32053" w:rsidRDefault="00A237C4" w:rsidP="00A237C4">
            <w:pPr>
              <w:spacing w:beforeLines="20" w:before="48" w:afterLines="20" w:after="48" w:line="220" w:lineRule="atLeast"/>
              <w:jc w:val="center"/>
              <w:rPr>
                <w:rFonts w:asciiTheme="minorHAnsi" w:hAnsiTheme="minorHAnsi" w:cstheme="minorHAnsi"/>
                <w:iCs/>
              </w:rPr>
            </w:pPr>
            <w:r w:rsidRPr="00F32053">
              <w:rPr>
                <w:rFonts w:asciiTheme="minorHAnsi" w:hAnsiTheme="minorHAnsi" w:cstheme="minorHAnsi"/>
                <w:iCs/>
                <w:kern w:val="24"/>
                <w:sz w:val="22"/>
                <w:szCs w:val="22"/>
              </w:rPr>
              <w:t>55</w:t>
            </w:r>
          </w:p>
        </w:tc>
        <w:tc>
          <w:tcPr>
            <w:tcW w:w="774" w:type="dxa"/>
            <w:tcBorders>
              <w:top w:val="single" w:sz="8" w:space="0" w:color="455560"/>
              <w:left w:val="nil"/>
              <w:bottom w:val="single" w:sz="8" w:space="0" w:color="455560"/>
              <w:right w:val="nil"/>
            </w:tcBorders>
            <w:vAlign w:val="center"/>
          </w:tcPr>
          <w:p w14:paraId="0B850224" w14:textId="42C569A4"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173</w:t>
            </w:r>
            <w:r w:rsidRPr="00F32053">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8AFC645" w14:textId="0D2EBDF4"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1.19</w:t>
            </w:r>
            <w:r w:rsidRPr="00F32053">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A55F877" w14:textId="66025F66"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eastAsiaTheme="minorHAnsi" w:hAnsiTheme="minorHAnsi" w:cstheme="minorHAnsi"/>
                <w:iCs/>
                <w:color w:val="auto"/>
                <w:kern w:val="24"/>
                <w:sz w:val="22"/>
                <w:szCs w:val="22"/>
              </w:rPr>
              <w:t>73.77</w:t>
            </w:r>
          </w:p>
        </w:tc>
        <w:tc>
          <w:tcPr>
            <w:tcW w:w="1549" w:type="dxa"/>
            <w:tcBorders>
              <w:top w:val="single" w:sz="8" w:space="0" w:color="455560"/>
              <w:left w:val="nil"/>
              <w:bottom w:val="single" w:sz="8" w:space="0" w:color="455560"/>
              <w:right w:val="nil"/>
            </w:tcBorders>
            <w:vAlign w:val="center"/>
          </w:tcPr>
          <w:p w14:paraId="2F29DE4C" w14:textId="0412C37F"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88.83</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7441E71E" w14:textId="0937F630"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3.59</w:t>
            </w:r>
            <w:r w:rsidRPr="00392B86">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F4C5E1D" w14:textId="35D34DDE"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2.69</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FC34DE2" w14:textId="69F1D98F"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0.52</w:t>
            </w:r>
            <w:r w:rsidRPr="00392B86">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128FBEA8" w14:textId="2DB2E782"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0.39</w:t>
            </w:r>
            <w:r w:rsidRPr="00392B86">
              <w:rPr>
                <w:rFonts w:asciiTheme="minorHAnsi" w:hAnsiTheme="minorHAnsi" w:cstheme="minorHAnsi"/>
                <w:iCs/>
                <w:color w:val="auto"/>
                <w:kern w:val="24"/>
              </w:rPr>
              <w:t>​</w:t>
            </w:r>
          </w:p>
        </w:tc>
      </w:tr>
      <w:tr w:rsidR="00A237C4" w:rsidRPr="00F3401D" w14:paraId="43737A6C" w14:textId="77777777" w:rsidTr="00AD0D8F">
        <w:tc>
          <w:tcPr>
            <w:tcW w:w="1175" w:type="dxa"/>
            <w:tcBorders>
              <w:top w:val="single" w:sz="8" w:space="0" w:color="455560"/>
              <w:bottom w:val="single" w:sz="8" w:space="0" w:color="455560"/>
              <w:right w:val="nil"/>
            </w:tcBorders>
            <w:vAlign w:val="center"/>
          </w:tcPr>
          <w:p w14:paraId="0B6D1917" w14:textId="77777777" w:rsidR="00A237C4" w:rsidRPr="00392B86" w:rsidRDefault="00A237C4" w:rsidP="00A237C4">
            <w:pPr>
              <w:spacing w:beforeLines="20" w:before="48" w:afterLines="20" w:after="48" w:line="220" w:lineRule="atLeast"/>
              <w:jc w:val="center"/>
              <w:rPr>
                <w:rFonts w:asciiTheme="minorHAnsi" w:hAnsiTheme="minorHAnsi" w:cstheme="minorHAnsi"/>
                <w:iCs/>
              </w:rPr>
            </w:pPr>
            <w:r w:rsidRPr="00392B86">
              <w:rPr>
                <w:rFonts w:asciiTheme="minorHAnsi" w:hAnsiTheme="minorHAnsi" w:cstheme="minorHAnsi"/>
                <w:iCs/>
                <w:kern w:val="24"/>
                <w:sz w:val="22"/>
                <w:szCs w:val="22"/>
              </w:rPr>
              <w:t>60</w:t>
            </w:r>
          </w:p>
        </w:tc>
        <w:tc>
          <w:tcPr>
            <w:tcW w:w="774" w:type="dxa"/>
            <w:tcBorders>
              <w:top w:val="single" w:sz="8" w:space="0" w:color="455560"/>
              <w:left w:val="nil"/>
              <w:bottom w:val="single" w:sz="8" w:space="0" w:color="455560"/>
              <w:right w:val="nil"/>
            </w:tcBorders>
            <w:vAlign w:val="center"/>
          </w:tcPr>
          <w:p w14:paraId="73684D69" w14:textId="2B119C30"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174</w:t>
            </w:r>
            <w:r w:rsidRPr="00392B86">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36EAEFB" w14:textId="354B50C5"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1.52</w:t>
            </w:r>
            <w:r w:rsidRPr="00392B86">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83B9425" w14:textId="4EAA1E8B"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eastAsiaTheme="minorHAnsi" w:hAnsiTheme="minorHAnsi" w:cstheme="minorHAnsi"/>
                <w:iCs/>
                <w:color w:val="auto"/>
                <w:kern w:val="24"/>
                <w:sz w:val="22"/>
                <w:szCs w:val="22"/>
              </w:rPr>
              <w:t>59.45</w:t>
            </w:r>
          </w:p>
        </w:tc>
        <w:tc>
          <w:tcPr>
            <w:tcW w:w="1549" w:type="dxa"/>
            <w:tcBorders>
              <w:top w:val="single" w:sz="8" w:space="0" w:color="455560"/>
              <w:left w:val="nil"/>
              <w:bottom w:val="single" w:sz="8" w:space="0" w:color="455560"/>
              <w:right w:val="nil"/>
            </w:tcBorders>
            <w:vAlign w:val="center"/>
          </w:tcPr>
          <w:p w14:paraId="30AF3BCA" w14:textId="1C3A41E9"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71.50</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D9580E2" w14:textId="1E9AFA23"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5.71</w:t>
            </w:r>
            <w:r w:rsidRPr="00392B86">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7B7E4965" w14:textId="3B0CD1FB"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4.28</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6D2AC17" w14:textId="3AE5CE75"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0.54</w:t>
            </w:r>
            <w:r w:rsidRPr="009959E1">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4B20C6B2" w14:textId="5E591D59"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0.40</w:t>
            </w:r>
            <w:r w:rsidRPr="009959E1">
              <w:rPr>
                <w:rFonts w:asciiTheme="minorHAnsi" w:hAnsiTheme="minorHAnsi" w:cstheme="minorHAnsi"/>
                <w:iCs/>
                <w:color w:val="auto"/>
                <w:kern w:val="24"/>
              </w:rPr>
              <w:t>​</w:t>
            </w:r>
          </w:p>
        </w:tc>
      </w:tr>
      <w:tr w:rsidR="00A237C4" w:rsidRPr="00F3401D" w14:paraId="66D02CB5" w14:textId="77777777" w:rsidTr="00AD0D8F">
        <w:tc>
          <w:tcPr>
            <w:tcW w:w="1175" w:type="dxa"/>
            <w:tcBorders>
              <w:top w:val="single" w:sz="8" w:space="0" w:color="455560"/>
              <w:bottom w:val="nil"/>
              <w:right w:val="nil"/>
            </w:tcBorders>
            <w:vAlign w:val="center"/>
          </w:tcPr>
          <w:p w14:paraId="390FE951" w14:textId="77F5FBFD"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sz w:val="22"/>
                <w:szCs w:val="22"/>
              </w:rPr>
              <w:t>65</w:t>
            </w:r>
          </w:p>
        </w:tc>
        <w:tc>
          <w:tcPr>
            <w:tcW w:w="774" w:type="dxa"/>
            <w:tcBorders>
              <w:top w:val="single" w:sz="8" w:space="0" w:color="455560"/>
              <w:left w:val="nil"/>
              <w:bottom w:val="nil"/>
              <w:right w:val="nil"/>
            </w:tcBorders>
            <w:vAlign w:val="center"/>
          </w:tcPr>
          <w:p w14:paraId="327692E8" w14:textId="0CF6B146"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174</w:t>
            </w:r>
            <w:r w:rsidRPr="009959E1">
              <w:rPr>
                <w:rFonts w:asciiTheme="minorHAnsi" w:hAnsiTheme="minorHAnsi" w:cstheme="minorHAnsi"/>
                <w:iCs/>
                <w:color w:val="auto"/>
                <w:kern w:val="24"/>
              </w:rPr>
              <w:t>​</w:t>
            </w:r>
          </w:p>
        </w:tc>
        <w:tc>
          <w:tcPr>
            <w:tcW w:w="1403" w:type="dxa"/>
            <w:tcBorders>
              <w:top w:val="single" w:sz="8" w:space="0" w:color="455560"/>
              <w:left w:val="nil"/>
              <w:bottom w:val="nil"/>
              <w:right w:val="nil"/>
            </w:tcBorders>
            <w:vAlign w:val="center"/>
          </w:tcPr>
          <w:p w14:paraId="09EE96E4" w14:textId="42C36BD0"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1.95</w:t>
            </w:r>
            <w:r w:rsidRPr="009959E1">
              <w:rPr>
                <w:rFonts w:asciiTheme="minorHAnsi" w:hAnsiTheme="minorHAnsi" w:cstheme="minorHAnsi"/>
                <w:iCs/>
                <w:color w:val="auto"/>
                <w:kern w:val="24"/>
              </w:rPr>
              <w:t>​</w:t>
            </w:r>
          </w:p>
        </w:tc>
        <w:tc>
          <w:tcPr>
            <w:tcW w:w="1416" w:type="dxa"/>
            <w:tcBorders>
              <w:top w:val="single" w:sz="8" w:space="0" w:color="455560"/>
              <w:left w:val="nil"/>
              <w:bottom w:val="nil"/>
              <w:right w:val="nil"/>
            </w:tcBorders>
            <w:vAlign w:val="center"/>
          </w:tcPr>
          <w:p w14:paraId="211F5CAE" w14:textId="5A072860"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eastAsiaTheme="minorHAnsi" w:hAnsiTheme="minorHAnsi" w:cstheme="minorHAnsi"/>
                <w:iCs/>
                <w:color w:val="auto"/>
                <w:kern w:val="24"/>
                <w:sz w:val="22"/>
                <w:szCs w:val="22"/>
              </w:rPr>
              <w:t>28.34</w:t>
            </w:r>
          </w:p>
        </w:tc>
        <w:tc>
          <w:tcPr>
            <w:tcW w:w="1549" w:type="dxa"/>
            <w:tcBorders>
              <w:top w:val="single" w:sz="8" w:space="0" w:color="455560"/>
              <w:left w:val="nil"/>
              <w:bottom w:val="nil"/>
              <w:right w:val="nil"/>
            </w:tcBorders>
            <w:vAlign w:val="center"/>
          </w:tcPr>
          <w:p w14:paraId="4B334D5C" w14:textId="2A0D3359"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34.07</w:t>
            </w:r>
            <w:r w:rsidRPr="009959E1">
              <w:rPr>
                <w:rFonts w:asciiTheme="minorHAnsi" w:hAnsiTheme="minorHAnsi" w:cstheme="minorHAnsi"/>
                <w:iCs/>
                <w:color w:val="auto"/>
                <w:kern w:val="24"/>
              </w:rPr>
              <w:t>​</w:t>
            </w:r>
          </w:p>
        </w:tc>
        <w:tc>
          <w:tcPr>
            <w:tcW w:w="802" w:type="dxa"/>
            <w:tcBorders>
              <w:top w:val="single" w:sz="8" w:space="0" w:color="455560"/>
              <w:left w:val="nil"/>
              <w:bottom w:val="nil"/>
              <w:right w:val="nil"/>
            </w:tcBorders>
            <w:vAlign w:val="center"/>
          </w:tcPr>
          <w:p w14:paraId="0A2BAD93" w14:textId="224897DF"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10.26</w:t>
            </w:r>
            <w:r w:rsidRPr="009959E1">
              <w:rPr>
                <w:rFonts w:asciiTheme="minorHAnsi" w:hAnsiTheme="minorHAnsi" w:cstheme="minorHAnsi"/>
                <w:iCs/>
                <w:color w:val="auto"/>
                <w:kern w:val="24"/>
              </w:rPr>
              <w:t>​</w:t>
            </w:r>
          </w:p>
        </w:tc>
        <w:tc>
          <w:tcPr>
            <w:tcW w:w="960" w:type="dxa"/>
            <w:tcBorders>
              <w:top w:val="single" w:sz="8" w:space="0" w:color="455560"/>
              <w:left w:val="nil"/>
              <w:bottom w:val="nil"/>
              <w:right w:val="nil"/>
            </w:tcBorders>
            <w:vAlign w:val="center"/>
          </w:tcPr>
          <w:p w14:paraId="48AE8A23" w14:textId="01D61F2B"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7.69</w:t>
            </w:r>
            <w:r w:rsidRPr="009959E1">
              <w:rPr>
                <w:rFonts w:asciiTheme="minorHAnsi" w:hAnsiTheme="minorHAnsi" w:cstheme="minorHAnsi"/>
                <w:iCs/>
                <w:color w:val="auto"/>
                <w:kern w:val="24"/>
              </w:rPr>
              <w:t>​</w:t>
            </w:r>
          </w:p>
        </w:tc>
        <w:tc>
          <w:tcPr>
            <w:tcW w:w="802" w:type="dxa"/>
            <w:tcBorders>
              <w:top w:val="single" w:sz="8" w:space="0" w:color="455560"/>
              <w:left w:val="nil"/>
              <w:bottom w:val="nil"/>
              <w:right w:val="nil"/>
            </w:tcBorders>
            <w:vAlign w:val="center"/>
          </w:tcPr>
          <w:p w14:paraId="6AF64138" w14:textId="6F6D59CA"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0.00</w:t>
            </w:r>
            <w:r w:rsidRPr="009959E1">
              <w:rPr>
                <w:rFonts w:asciiTheme="minorHAnsi" w:hAnsiTheme="minorHAnsi" w:cstheme="minorHAnsi"/>
                <w:iCs/>
                <w:color w:val="auto"/>
                <w:kern w:val="24"/>
              </w:rPr>
              <w:t>​</w:t>
            </w:r>
          </w:p>
        </w:tc>
        <w:tc>
          <w:tcPr>
            <w:tcW w:w="900" w:type="dxa"/>
            <w:tcBorders>
              <w:top w:val="single" w:sz="8" w:space="0" w:color="455560"/>
              <w:left w:val="nil"/>
              <w:bottom w:val="nil"/>
            </w:tcBorders>
            <w:vAlign w:val="center"/>
          </w:tcPr>
          <w:p w14:paraId="0430FFC0" w14:textId="017BC2C4"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0.00</w:t>
            </w:r>
            <w:r w:rsidRPr="009959E1">
              <w:rPr>
                <w:rFonts w:asciiTheme="minorHAnsi" w:hAnsiTheme="minorHAnsi" w:cstheme="minorHAnsi"/>
                <w:iCs/>
                <w:color w:val="auto"/>
                <w:kern w:val="24"/>
              </w:rPr>
              <w:t>​</w:t>
            </w:r>
          </w:p>
        </w:tc>
      </w:tr>
      <w:bookmarkEnd w:id="3"/>
    </w:tbl>
    <w:p w14:paraId="50187A96" w14:textId="77777777" w:rsidR="00F3401D" w:rsidRPr="00292680" w:rsidRDefault="00F3401D" w:rsidP="00C55A2E"/>
    <w:sectPr w:rsidR="00F3401D" w:rsidRPr="00292680" w:rsidSect="00531469">
      <w:footerReference w:type="first" r:id="rId32"/>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B0B8" w14:textId="77777777" w:rsidR="008E1557" w:rsidRDefault="008E1557" w:rsidP="00A25BAB">
      <w:pPr>
        <w:spacing w:after="0" w:line="240" w:lineRule="auto"/>
      </w:pPr>
      <w:r>
        <w:separator/>
      </w:r>
    </w:p>
  </w:endnote>
  <w:endnote w:type="continuationSeparator" w:id="0">
    <w:p w14:paraId="34ECA4C5" w14:textId="77777777" w:rsidR="008E1557" w:rsidRDefault="008E1557" w:rsidP="00A25BAB">
      <w:pPr>
        <w:spacing w:after="0" w:line="240" w:lineRule="auto"/>
      </w:pPr>
      <w:r>
        <w:continuationSeparator/>
      </w:r>
    </w:p>
  </w:endnote>
  <w:endnote w:type="continuationNotice" w:id="1">
    <w:p w14:paraId="615C3B62" w14:textId="77777777" w:rsidR="008E1557" w:rsidRDefault="008E1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25569"/>
      <w:docPartObj>
        <w:docPartGallery w:val="Page Numbers (Bottom of Page)"/>
        <w:docPartUnique/>
      </w:docPartObj>
    </w:sdtPr>
    <w:sdtEndPr>
      <w:rPr>
        <w:noProof/>
      </w:rPr>
    </w:sdtEndPr>
    <w:sdtContent>
      <w:p w14:paraId="361B4A9F" w14:textId="419A60FE" w:rsidR="00F830F4" w:rsidRDefault="00A003E2">
        <w:pPr>
          <w:pStyle w:val="Footer"/>
          <w:jc w:val="right"/>
        </w:pPr>
      </w:p>
    </w:sdtContent>
  </w:sdt>
  <w:p w14:paraId="3A3A8B2B" w14:textId="66791672" w:rsidR="00F830F4" w:rsidRDefault="00F8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5BC" w14:textId="044E046D" w:rsidR="00F830F4" w:rsidRDefault="00531469" w:rsidP="00916B35">
    <w:pPr>
      <w:pStyle w:val="Footer"/>
    </w:pPr>
    <w:r>
      <w:rPr>
        <w:noProof/>
      </w:rPr>
      <w:drawing>
        <wp:inline distT="0" distB="0" distL="0" distR="0" wp14:anchorId="400C7595" wp14:editId="187719E7">
          <wp:extent cx="1936800" cy="648000"/>
          <wp:effectExtent l="0" t="0" r="6350" b="0"/>
          <wp:docPr id="1405532415" name="Picture 1"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1608" name="Picture 1"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6800" cy="648000"/>
                  </a:xfrm>
                  <a:prstGeom prst="rect">
                    <a:avLst/>
                  </a:prstGeom>
                </pic:spPr>
              </pic:pic>
            </a:graphicData>
          </a:graphic>
        </wp:inline>
      </w:drawing>
    </w:r>
  </w:p>
  <w:p w14:paraId="73573E42" w14:textId="6071A06D" w:rsidR="009E2D21" w:rsidRPr="0054674F" w:rsidRDefault="009E2D21" w:rsidP="0054674F">
    <w:pPr>
      <w:pStyle w:val="Footer"/>
      <w:jc w:val="right"/>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F299" w14:textId="7517F8E5" w:rsidR="00F830F4" w:rsidRDefault="00F830F4">
    <w:pPr>
      <w:pStyle w:val="Footer"/>
      <w:jc w:val="right"/>
    </w:pPr>
    <w:r>
      <w:fldChar w:fldCharType="begin"/>
    </w:r>
    <w:r>
      <w:instrText xml:space="preserve"> PAGE   \* MERGEFORMAT </w:instrText>
    </w:r>
    <w:r>
      <w:fldChar w:fldCharType="separate"/>
    </w:r>
    <w:r>
      <w:rPr>
        <w:noProof/>
      </w:rPr>
      <w:t>2</w:t>
    </w:r>
    <w:r>
      <w:rPr>
        <w:noProof/>
      </w:rPr>
      <w:fldChar w:fldCharType="end"/>
    </w:r>
  </w:p>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7874" w14:textId="77777777" w:rsidR="008E1557" w:rsidRDefault="008E1557" w:rsidP="00A25BAB">
      <w:pPr>
        <w:spacing w:after="0" w:line="240" w:lineRule="auto"/>
      </w:pPr>
      <w:r>
        <w:separator/>
      </w:r>
    </w:p>
  </w:footnote>
  <w:footnote w:type="continuationSeparator" w:id="0">
    <w:p w14:paraId="2904C2FA" w14:textId="77777777" w:rsidR="008E1557" w:rsidRDefault="008E1557" w:rsidP="00A25BAB">
      <w:pPr>
        <w:spacing w:after="0" w:line="240" w:lineRule="auto"/>
      </w:pPr>
      <w:r>
        <w:continuationSeparator/>
      </w:r>
    </w:p>
  </w:footnote>
  <w:footnote w:type="continuationNotice" w:id="1">
    <w:p w14:paraId="6644351B" w14:textId="77777777" w:rsidR="008E1557" w:rsidRDefault="008E1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E6F2" w14:textId="15D94AB1" w:rsidR="0022296D" w:rsidRDefault="0022296D" w:rsidP="00194B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301951B6" w:rsidR="009E2D21" w:rsidRDefault="00167889" w:rsidP="00A25BAB">
    <w:pPr>
      <w:pStyle w:val="Header"/>
      <w:jc w:val="right"/>
    </w:pPr>
    <w:r>
      <w:rPr>
        <w:noProof/>
      </w:rPr>
      <w:drawing>
        <wp:inline distT="0" distB="0" distL="0" distR="0" wp14:anchorId="31EC0F04" wp14:editId="6C31A889">
          <wp:extent cx="2005200" cy="676800"/>
          <wp:effectExtent l="0" t="0" r="0" b="0"/>
          <wp:docPr id="1724054823" name="Picture 172405482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95CFF"/>
    <w:multiLevelType w:val="multilevel"/>
    <w:tmpl w:val="E5D0E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74D"/>
    <w:multiLevelType w:val="multilevel"/>
    <w:tmpl w:val="888CD7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B0B1D"/>
    <w:multiLevelType w:val="hybridMultilevel"/>
    <w:tmpl w:val="19C2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F4019"/>
    <w:multiLevelType w:val="hybridMultilevel"/>
    <w:tmpl w:val="C974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61F51"/>
    <w:multiLevelType w:val="multilevel"/>
    <w:tmpl w:val="30A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86679"/>
    <w:multiLevelType w:val="multilevel"/>
    <w:tmpl w:val="FBB84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5667C"/>
    <w:multiLevelType w:val="multilevel"/>
    <w:tmpl w:val="D99CC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AE60AD"/>
    <w:multiLevelType w:val="hybridMultilevel"/>
    <w:tmpl w:val="559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5059"/>
    <w:multiLevelType w:val="multilevel"/>
    <w:tmpl w:val="63AA08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F0403B"/>
    <w:multiLevelType w:val="multilevel"/>
    <w:tmpl w:val="C940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030D4A"/>
    <w:multiLevelType w:val="multilevel"/>
    <w:tmpl w:val="E67E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B8F05BA"/>
    <w:multiLevelType w:val="multilevel"/>
    <w:tmpl w:val="AA180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106827"/>
    <w:multiLevelType w:val="hybridMultilevel"/>
    <w:tmpl w:val="80745572"/>
    <w:lvl w:ilvl="0" w:tplc="5BCAF234">
      <w:start w:val="1"/>
      <w:numFmt w:val="decimal"/>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185FF5"/>
    <w:multiLevelType w:val="multilevel"/>
    <w:tmpl w:val="27CAC1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B76FFF"/>
    <w:multiLevelType w:val="multilevel"/>
    <w:tmpl w:val="B8D41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CA486C"/>
    <w:multiLevelType w:val="multilevel"/>
    <w:tmpl w:val="2974A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074B4A"/>
    <w:multiLevelType w:val="multilevel"/>
    <w:tmpl w:val="180E3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EE82C94"/>
    <w:multiLevelType w:val="multilevel"/>
    <w:tmpl w:val="AAE80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7FD28AC"/>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1F41E6"/>
    <w:multiLevelType w:val="multilevel"/>
    <w:tmpl w:val="5E7631A4"/>
    <w:styleLink w:val="HRBullet"/>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8583A27"/>
    <w:multiLevelType w:val="hybridMultilevel"/>
    <w:tmpl w:val="395AB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B3F1C03"/>
    <w:multiLevelType w:val="multilevel"/>
    <w:tmpl w:val="BE08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3DD71FE2"/>
    <w:multiLevelType w:val="multilevel"/>
    <w:tmpl w:val="959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9E6B4B"/>
    <w:multiLevelType w:val="multilevel"/>
    <w:tmpl w:val="BDC84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F641190"/>
    <w:multiLevelType w:val="hybridMultilevel"/>
    <w:tmpl w:val="2746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1821CC"/>
    <w:multiLevelType w:val="multilevel"/>
    <w:tmpl w:val="A726F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EF3F8E"/>
    <w:multiLevelType w:val="multilevel"/>
    <w:tmpl w:val="DB6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562CD9"/>
    <w:multiLevelType w:val="hybridMultilevel"/>
    <w:tmpl w:val="667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3F723AE"/>
    <w:multiLevelType w:val="multilevel"/>
    <w:tmpl w:val="0A28DF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EF37E2"/>
    <w:multiLevelType w:val="multilevel"/>
    <w:tmpl w:val="33A24C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C25911"/>
    <w:multiLevelType w:val="multilevel"/>
    <w:tmpl w:val="340ADB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495B6C"/>
    <w:multiLevelType w:val="multilevel"/>
    <w:tmpl w:val="EB0E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38B434E"/>
    <w:multiLevelType w:val="multilevel"/>
    <w:tmpl w:val="5E7631A4"/>
    <w:numStyleLink w:val="HRBullet"/>
  </w:abstractNum>
  <w:abstractNum w:abstractNumId="61" w15:restartNumberingAfterBreak="0">
    <w:nsid w:val="53FD676D"/>
    <w:multiLevelType w:val="hybridMultilevel"/>
    <w:tmpl w:val="2C32CF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2"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A03E5D"/>
    <w:multiLevelType w:val="multilevel"/>
    <w:tmpl w:val="72BC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CE44F7"/>
    <w:multiLevelType w:val="multilevel"/>
    <w:tmpl w:val="10366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DB63E9"/>
    <w:multiLevelType w:val="multilevel"/>
    <w:tmpl w:val="6C78BE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201102"/>
    <w:multiLevelType w:val="multilevel"/>
    <w:tmpl w:val="55B2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FC13E41"/>
    <w:multiLevelType w:val="hybridMultilevel"/>
    <w:tmpl w:val="03A8C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1B3388"/>
    <w:multiLevelType w:val="hybridMultilevel"/>
    <w:tmpl w:val="713E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2BE6562"/>
    <w:multiLevelType w:val="hybridMultilevel"/>
    <w:tmpl w:val="B9CA0D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3A159EA"/>
    <w:multiLevelType w:val="multilevel"/>
    <w:tmpl w:val="80D04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041050"/>
    <w:multiLevelType w:val="multilevel"/>
    <w:tmpl w:val="129E8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80F4CBE"/>
    <w:multiLevelType w:val="multilevel"/>
    <w:tmpl w:val="5E7631A4"/>
    <w:numStyleLink w:val="HRBullet"/>
  </w:abstractNum>
  <w:abstractNum w:abstractNumId="81"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651BD4"/>
    <w:multiLevelType w:val="multilevel"/>
    <w:tmpl w:val="8334C4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F97E24"/>
    <w:multiLevelType w:val="multilevel"/>
    <w:tmpl w:val="16447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FA6D66"/>
    <w:multiLevelType w:val="multilevel"/>
    <w:tmpl w:val="85E8A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1FA420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24103F2"/>
    <w:multiLevelType w:val="hybridMultilevel"/>
    <w:tmpl w:val="038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BD7DA3"/>
    <w:multiLevelType w:val="multilevel"/>
    <w:tmpl w:val="38265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D151A1"/>
    <w:multiLevelType w:val="hybridMultilevel"/>
    <w:tmpl w:val="CB202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995228D"/>
    <w:multiLevelType w:val="multilevel"/>
    <w:tmpl w:val="6FEE8A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0043367">
    <w:abstractNumId w:val="63"/>
  </w:num>
  <w:num w:numId="2" w16cid:durableId="303966749">
    <w:abstractNumId w:val="47"/>
  </w:num>
  <w:num w:numId="3" w16cid:durableId="1026834995">
    <w:abstractNumId w:val="54"/>
  </w:num>
  <w:num w:numId="4" w16cid:durableId="1960841859">
    <w:abstractNumId w:val="17"/>
  </w:num>
  <w:num w:numId="5" w16cid:durableId="74516910">
    <w:abstractNumId w:val="52"/>
  </w:num>
  <w:num w:numId="6" w16cid:durableId="873888177">
    <w:abstractNumId w:val="59"/>
  </w:num>
  <w:num w:numId="7" w16cid:durableId="705451241">
    <w:abstractNumId w:val="62"/>
  </w:num>
  <w:num w:numId="8" w16cid:durableId="2075470730">
    <w:abstractNumId w:val="30"/>
  </w:num>
  <w:num w:numId="9" w16cid:durableId="1069497340">
    <w:abstractNumId w:val="24"/>
  </w:num>
  <w:num w:numId="10" w16cid:durableId="1462310343">
    <w:abstractNumId w:val="93"/>
  </w:num>
  <w:num w:numId="11" w16cid:durableId="1801142355">
    <w:abstractNumId w:val="81"/>
  </w:num>
  <w:num w:numId="12" w16cid:durableId="1537278236">
    <w:abstractNumId w:val="11"/>
  </w:num>
  <w:num w:numId="13" w16cid:durableId="1884832034">
    <w:abstractNumId w:val="38"/>
  </w:num>
  <w:num w:numId="14" w16cid:durableId="1914851685">
    <w:abstractNumId w:val="37"/>
  </w:num>
  <w:num w:numId="15" w16cid:durableId="1316449026">
    <w:abstractNumId w:val="9"/>
  </w:num>
  <w:num w:numId="16" w16cid:durableId="754984033">
    <w:abstractNumId w:val="39"/>
  </w:num>
  <w:num w:numId="17" w16cid:durableId="1925189071">
    <w:abstractNumId w:val="0"/>
  </w:num>
  <w:num w:numId="18" w16cid:durableId="476533795">
    <w:abstractNumId w:val="36"/>
  </w:num>
  <w:num w:numId="19" w16cid:durableId="2061633732">
    <w:abstractNumId w:val="78"/>
  </w:num>
  <w:num w:numId="20" w16cid:durableId="1525513357">
    <w:abstractNumId w:val="22"/>
  </w:num>
  <w:num w:numId="21" w16cid:durableId="1619482171">
    <w:abstractNumId w:val="44"/>
  </w:num>
  <w:num w:numId="22" w16cid:durableId="775716213">
    <w:abstractNumId w:val="58"/>
  </w:num>
  <w:num w:numId="23" w16cid:durableId="860896593">
    <w:abstractNumId w:val="41"/>
  </w:num>
  <w:num w:numId="24" w16cid:durableId="1075858403">
    <w:abstractNumId w:val="32"/>
  </w:num>
  <w:num w:numId="25" w16cid:durableId="980161389">
    <w:abstractNumId w:val="80"/>
    <w:lvlOverride w:ilvl="0">
      <w:lvl w:ilvl="0">
        <w:start w:val="1"/>
        <w:numFmt w:val="decimal"/>
        <w:lvlText w:val="%1."/>
        <w:lvlJc w:val="left"/>
        <w:pPr>
          <w:ind w:left="567" w:hanging="567"/>
        </w:pPr>
        <w:rPr>
          <w:rFonts w:hint="default"/>
          <w:b w:val="0"/>
          <w:color w:val="4B4B4B"/>
          <w:sz w:val="20"/>
        </w:rPr>
      </w:lvl>
    </w:lvlOverride>
  </w:num>
  <w:num w:numId="26" w16cid:durableId="161118506">
    <w:abstractNumId w:val="35"/>
  </w:num>
  <w:num w:numId="27" w16cid:durableId="1480615836">
    <w:abstractNumId w:val="34"/>
  </w:num>
  <w:num w:numId="28" w16cid:durableId="2012100617">
    <w:abstractNumId w:val="89"/>
  </w:num>
  <w:num w:numId="29" w16cid:durableId="848133835">
    <w:abstractNumId w:val="76"/>
  </w:num>
  <w:num w:numId="30" w16cid:durableId="51933673">
    <w:abstractNumId w:val="75"/>
  </w:num>
  <w:num w:numId="31" w16cid:durableId="1926838643">
    <w:abstractNumId w:val="26"/>
  </w:num>
  <w:num w:numId="32" w16cid:durableId="1945965171">
    <w:abstractNumId w:val="77"/>
  </w:num>
  <w:num w:numId="33" w16cid:durableId="619535059">
    <w:abstractNumId w:val="31"/>
  </w:num>
  <w:num w:numId="34" w16cid:durableId="1547793787">
    <w:abstractNumId w:val="68"/>
  </w:num>
  <w:num w:numId="35" w16cid:durableId="92168760">
    <w:abstractNumId w:val="91"/>
  </w:num>
  <w:num w:numId="36" w16cid:durableId="976885160">
    <w:abstractNumId w:val="92"/>
  </w:num>
  <w:num w:numId="37" w16cid:durableId="736899577">
    <w:abstractNumId w:val="79"/>
  </w:num>
  <w:num w:numId="38" w16cid:durableId="706028486">
    <w:abstractNumId w:val="16"/>
  </w:num>
  <w:num w:numId="39" w16cid:durableId="1843814519">
    <w:abstractNumId w:val="19"/>
  </w:num>
  <w:num w:numId="40" w16cid:durableId="731393053">
    <w:abstractNumId w:val="13"/>
  </w:num>
  <w:num w:numId="41" w16cid:durableId="1991472644">
    <w:abstractNumId w:val="14"/>
  </w:num>
  <w:num w:numId="42" w16cid:durableId="1784839003">
    <w:abstractNumId w:val="72"/>
  </w:num>
  <w:num w:numId="43" w16cid:durableId="593128539">
    <w:abstractNumId w:val="10"/>
  </w:num>
  <w:num w:numId="44" w16cid:durableId="814876015">
    <w:abstractNumId w:val="25"/>
  </w:num>
  <w:num w:numId="45" w16cid:durableId="1183087888">
    <w:abstractNumId w:val="71"/>
  </w:num>
  <w:num w:numId="46" w16cid:durableId="1451822261">
    <w:abstractNumId w:val="48"/>
  </w:num>
  <w:num w:numId="47" w16cid:durableId="1160542426">
    <w:abstractNumId w:val="4"/>
  </w:num>
  <w:num w:numId="48" w16cid:durableId="134026757">
    <w:abstractNumId w:val="86"/>
  </w:num>
  <w:num w:numId="49" w16cid:durableId="1131746905">
    <w:abstractNumId w:val="8"/>
  </w:num>
  <w:num w:numId="50" w16cid:durableId="1758479551">
    <w:abstractNumId w:val="20"/>
  </w:num>
  <w:num w:numId="51" w16cid:durableId="1948846538">
    <w:abstractNumId w:val="51"/>
  </w:num>
  <w:num w:numId="52" w16cid:durableId="1193955015">
    <w:abstractNumId w:val="15"/>
  </w:num>
  <w:num w:numId="53" w16cid:durableId="1458646238">
    <w:abstractNumId w:val="84"/>
  </w:num>
  <w:num w:numId="54" w16cid:durableId="1909611194">
    <w:abstractNumId w:val="33"/>
  </w:num>
  <w:num w:numId="55" w16cid:durableId="592396781">
    <w:abstractNumId w:val="73"/>
  </w:num>
  <w:num w:numId="56" w16cid:durableId="47923504">
    <w:abstractNumId w:val="87"/>
  </w:num>
  <w:num w:numId="57" w16cid:durableId="122580413">
    <w:abstractNumId w:val="83"/>
  </w:num>
  <w:num w:numId="58" w16cid:durableId="1185556660">
    <w:abstractNumId w:val="2"/>
  </w:num>
  <w:num w:numId="59" w16cid:durableId="1398823220">
    <w:abstractNumId w:val="7"/>
  </w:num>
  <w:num w:numId="60" w16cid:durableId="1565600151">
    <w:abstractNumId w:val="12"/>
  </w:num>
  <w:num w:numId="61" w16cid:durableId="1180386767">
    <w:abstractNumId w:val="66"/>
  </w:num>
  <w:num w:numId="62" w16cid:durableId="795485962">
    <w:abstractNumId w:val="90"/>
  </w:num>
  <w:num w:numId="63" w16cid:durableId="693271579">
    <w:abstractNumId w:val="53"/>
  </w:num>
  <w:num w:numId="64" w16cid:durableId="1400640530">
    <w:abstractNumId w:val="55"/>
  </w:num>
  <w:num w:numId="65" w16cid:durableId="900946372">
    <w:abstractNumId w:val="56"/>
  </w:num>
  <w:num w:numId="66" w16cid:durableId="359016421">
    <w:abstractNumId w:val="50"/>
  </w:num>
  <w:num w:numId="67" w16cid:durableId="1412045153">
    <w:abstractNumId w:val="46"/>
  </w:num>
  <w:num w:numId="68" w16cid:durableId="327100671">
    <w:abstractNumId w:val="65"/>
  </w:num>
  <w:num w:numId="69" w16cid:durableId="1318151456">
    <w:abstractNumId w:val="82"/>
  </w:num>
  <w:num w:numId="70" w16cid:durableId="1561400101">
    <w:abstractNumId w:val="43"/>
  </w:num>
  <w:num w:numId="71" w16cid:durableId="1829830786">
    <w:abstractNumId w:val="28"/>
  </w:num>
  <w:num w:numId="72" w16cid:durableId="1733111642">
    <w:abstractNumId w:val="23"/>
  </w:num>
  <w:num w:numId="73" w16cid:durableId="531504188">
    <w:abstractNumId w:val="64"/>
  </w:num>
  <w:num w:numId="74" w16cid:durableId="928781133">
    <w:abstractNumId w:val="74"/>
  </w:num>
  <w:num w:numId="75" w16cid:durableId="1568950376">
    <w:abstractNumId w:val="29"/>
  </w:num>
  <w:num w:numId="76" w16cid:durableId="29503213">
    <w:abstractNumId w:val="6"/>
  </w:num>
  <w:num w:numId="77" w16cid:durableId="1691446124">
    <w:abstractNumId w:val="1"/>
  </w:num>
  <w:num w:numId="78" w16cid:durableId="45880841">
    <w:abstractNumId w:val="67"/>
  </w:num>
  <w:num w:numId="79" w16cid:durableId="2147114389">
    <w:abstractNumId w:val="45"/>
  </w:num>
  <w:num w:numId="80" w16cid:durableId="1556962659">
    <w:abstractNumId w:val="57"/>
  </w:num>
  <w:num w:numId="81" w16cid:durableId="1839271454">
    <w:abstractNumId w:val="18"/>
  </w:num>
  <w:num w:numId="82" w16cid:durableId="802112031">
    <w:abstractNumId w:val="27"/>
  </w:num>
  <w:num w:numId="83" w16cid:durableId="1761366209">
    <w:abstractNumId w:val="5"/>
  </w:num>
  <w:num w:numId="84" w16cid:durableId="1496187869">
    <w:abstractNumId w:val="49"/>
  </w:num>
  <w:num w:numId="85" w16cid:durableId="1567912904">
    <w:abstractNumId w:val="21"/>
  </w:num>
  <w:num w:numId="86" w16cid:durableId="273900126">
    <w:abstractNumId w:val="80"/>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7" w16cid:durableId="440035623">
    <w:abstractNumId w:val="42"/>
  </w:num>
  <w:num w:numId="88" w16cid:durableId="1032800860">
    <w:abstractNumId w:val="88"/>
  </w:num>
  <w:num w:numId="89" w16cid:durableId="794443859">
    <w:abstractNumId w:val="85"/>
  </w:num>
  <w:num w:numId="90" w16cid:durableId="2118407215">
    <w:abstractNumId w:val="40"/>
  </w:num>
  <w:num w:numId="91" w16cid:durableId="1637685729">
    <w:abstractNumId w:val="3"/>
  </w:num>
  <w:num w:numId="92" w16cid:durableId="731972936">
    <w:abstractNumId w:val="80"/>
    <w:lvlOverride w:ilvl="0">
      <w:lvl w:ilvl="0">
        <w:start w:val="1"/>
        <w:numFmt w:val="decimal"/>
        <w:lvlText w:val="%1."/>
        <w:lvlJc w:val="left"/>
        <w:pPr>
          <w:ind w:left="567" w:hanging="567"/>
        </w:pPr>
        <w:rPr>
          <w:rFonts w:hint="default"/>
          <w:b w:val="0"/>
          <w:color w:val="4B4B4B"/>
          <w:sz w:val="20"/>
        </w:rPr>
      </w:lvl>
    </w:lvlOverride>
  </w:num>
  <w:num w:numId="93" w16cid:durableId="2038386211">
    <w:abstractNumId w:val="69"/>
  </w:num>
  <w:num w:numId="94" w16cid:durableId="1914730619">
    <w:abstractNumId w:val="70"/>
  </w:num>
  <w:num w:numId="95" w16cid:durableId="593248208">
    <w:abstractNumId w:val="60"/>
  </w:num>
  <w:num w:numId="96" w16cid:durableId="6044295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2DDA"/>
    <w:rsid w:val="000058FD"/>
    <w:rsid w:val="000076CD"/>
    <w:rsid w:val="000105BB"/>
    <w:rsid w:val="000108D0"/>
    <w:rsid w:val="0001523D"/>
    <w:rsid w:val="000217C2"/>
    <w:rsid w:val="00022C9C"/>
    <w:rsid w:val="00025C36"/>
    <w:rsid w:val="000303C8"/>
    <w:rsid w:val="0003310A"/>
    <w:rsid w:val="0003363A"/>
    <w:rsid w:val="000347D0"/>
    <w:rsid w:val="0003551B"/>
    <w:rsid w:val="00036832"/>
    <w:rsid w:val="000414F9"/>
    <w:rsid w:val="00041907"/>
    <w:rsid w:val="00043887"/>
    <w:rsid w:val="00043BF6"/>
    <w:rsid w:val="00045278"/>
    <w:rsid w:val="00051271"/>
    <w:rsid w:val="00053E27"/>
    <w:rsid w:val="0005687D"/>
    <w:rsid w:val="00057BBD"/>
    <w:rsid w:val="0006091B"/>
    <w:rsid w:val="00061077"/>
    <w:rsid w:val="000629A4"/>
    <w:rsid w:val="00062EB4"/>
    <w:rsid w:val="000640D0"/>
    <w:rsid w:val="00064465"/>
    <w:rsid w:val="00064DAC"/>
    <w:rsid w:val="00067794"/>
    <w:rsid w:val="00067931"/>
    <w:rsid w:val="000779D6"/>
    <w:rsid w:val="00082499"/>
    <w:rsid w:val="00083051"/>
    <w:rsid w:val="00083AD7"/>
    <w:rsid w:val="000864E5"/>
    <w:rsid w:val="00090744"/>
    <w:rsid w:val="000944EA"/>
    <w:rsid w:val="00094585"/>
    <w:rsid w:val="00095331"/>
    <w:rsid w:val="00095C7E"/>
    <w:rsid w:val="000A63E2"/>
    <w:rsid w:val="000A77DD"/>
    <w:rsid w:val="000A7C17"/>
    <w:rsid w:val="000B0D27"/>
    <w:rsid w:val="000B384B"/>
    <w:rsid w:val="000B3AA1"/>
    <w:rsid w:val="000B4373"/>
    <w:rsid w:val="000B4502"/>
    <w:rsid w:val="000B5F14"/>
    <w:rsid w:val="000B6D65"/>
    <w:rsid w:val="000C0340"/>
    <w:rsid w:val="000C1426"/>
    <w:rsid w:val="000C2B9F"/>
    <w:rsid w:val="000C3543"/>
    <w:rsid w:val="000C426E"/>
    <w:rsid w:val="000D0674"/>
    <w:rsid w:val="000D20FA"/>
    <w:rsid w:val="000D5E97"/>
    <w:rsid w:val="000D72FC"/>
    <w:rsid w:val="000E086D"/>
    <w:rsid w:val="000E08A1"/>
    <w:rsid w:val="000E184E"/>
    <w:rsid w:val="000E20F9"/>
    <w:rsid w:val="000E2DA1"/>
    <w:rsid w:val="000E60FD"/>
    <w:rsid w:val="000E74AE"/>
    <w:rsid w:val="000F1352"/>
    <w:rsid w:val="000F32D4"/>
    <w:rsid w:val="000F378F"/>
    <w:rsid w:val="000F6886"/>
    <w:rsid w:val="000F7917"/>
    <w:rsid w:val="00104864"/>
    <w:rsid w:val="00110222"/>
    <w:rsid w:val="00113D5F"/>
    <w:rsid w:val="00115393"/>
    <w:rsid w:val="001202FD"/>
    <w:rsid w:val="00121687"/>
    <w:rsid w:val="00123448"/>
    <w:rsid w:val="00124694"/>
    <w:rsid w:val="00126598"/>
    <w:rsid w:val="0012669F"/>
    <w:rsid w:val="00127C65"/>
    <w:rsid w:val="00130237"/>
    <w:rsid w:val="00132296"/>
    <w:rsid w:val="00132FDF"/>
    <w:rsid w:val="00133475"/>
    <w:rsid w:val="00136359"/>
    <w:rsid w:val="0013771F"/>
    <w:rsid w:val="00137781"/>
    <w:rsid w:val="001448A0"/>
    <w:rsid w:val="00145783"/>
    <w:rsid w:val="001523D4"/>
    <w:rsid w:val="0015680B"/>
    <w:rsid w:val="00156FD2"/>
    <w:rsid w:val="00162C13"/>
    <w:rsid w:val="0016361C"/>
    <w:rsid w:val="00166182"/>
    <w:rsid w:val="001663E6"/>
    <w:rsid w:val="00166B63"/>
    <w:rsid w:val="00167889"/>
    <w:rsid w:val="0017405E"/>
    <w:rsid w:val="00176A22"/>
    <w:rsid w:val="0017796D"/>
    <w:rsid w:val="00177CDE"/>
    <w:rsid w:val="00183D45"/>
    <w:rsid w:val="00194BC0"/>
    <w:rsid w:val="001A0CF9"/>
    <w:rsid w:val="001A108C"/>
    <w:rsid w:val="001A23BE"/>
    <w:rsid w:val="001A584C"/>
    <w:rsid w:val="001A72D0"/>
    <w:rsid w:val="001B2162"/>
    <w:rsid w:val="001B3688"/>
    <w:rsid w:val="001B4049"/>
    <w:rsid w:val="001B54AF"/>
    <w:rsid w:val="001B67E8"/>
    <w:rsid w:val="001C0C12"/>
    <w:rsid w:val="001C2EAB"/>
    <w:rsid w:val="001C5A9B"/>
    <w:rsid w:val="001C695D"/>
    <w:rsid w:val="001C6975"/>
    <w:rsid w:val="001D2CBE"/>
    <w:rsid w:val="001D2FD5"/>
    <w:rsid w:val="001D4CBE"/>
    <w:rsid w:val="001D6100"/>
    <w:rsid w:val="001E179F"/>
    <w:rsid w:val="001E193D"/>
    <w:rsid w:val="001E6FF0"/>
    <w:rsid w:val="001F0D38"/>
    <w:rsid w:val="001F6770"/>
    <w:rsid w:val="001F7724"/>
    <w:rsid w:val="00204692"/>
    <w:rsid w:val="002061F2"/>
    <w:rsid w:val="00207E75"/>
    <w:rsid w:val="00211565"/>
    <w:rsid w:val="00212AD4"/>
    <w:rsid w:val="00215534"/>
    <w:rsid w:val="00216673"/>
    <w:rsid w:val="00217709"/>
    <w:rsid w:val="0022296D"/>
    <w:rsid w:val="00222B29"/>
    <w:rsid w:val="00223391"/>
    <w:rsid w:val="00225A85"/>
    <w:rsid w:val="00227B03"/>
    <w:rsid w:val="00232439"/>
    <w:rsid w:val="00232FA6"/>
    <w:rsid w:val="00235812"/>
    <w:rsid w:val="002423D0"/>
    <w:rsid w:val="00242523"/>
    <w:rsid w:val="00243B7C"/>
    <w:rsid w:val="00246796"/>
    <w:rsid w:val="00247C83"/>
    <w:rsid w:val="00251B8A"/>
    <w:rsid w:val="00254082"/>
    <w:rsid w:val="00254695"/>
    <w:rsid w:val="00254B96"/>
    <w:rsid w:val="002556E5"/>
    <w:rsid w:val="00257749"/>
    <w:rsid w:val="002618E8"/>
    <w:rsid w:val="00262DE2"/>
    <w:rsid w:val="00275C3A"/>
    <w:rsid w:val="002801A0"/>
    <w:rsid w:val="00282387"/>
    <w:rsid w:val="0028372B"/>
    <w:rsid w:val="00284B21"/>
    <w:rsid w:val="002862BE"/>
    <w:rsid w:val="00292680"/>
    <w:rsid w:val="00294B99"/>
    <w:rsid w:val="00296DE9"/>
    <w:rsid w:val="00297869"/>
    <w:rsid w:val="002A049C"/>
    <w:rsid w:val="002A0BE3"/>
    <w:rsid w:val="002A23C7"/>
    <w:rsid w:val="002A30B2"/>
    <w:rsid w:val="002A3682"/>
    <w:rsid w:val="002A7179"/>
    <w:rsid w:val="002B0CE8"/>
    <w:rsid w:val="002B0F17"/>
    <w:rsid w:val="002B4745"/>
    <w:rsid w:val="002B4D81"/>
    <w:rsid w:val="002C4197"/>
    <w:rsid w:val="002C6B9A"/>
    <w:rsid w:val="002C7672"/>
    <w:rsid w:val="002D2193"/>
    <w:rsid w:val="002D3370"/>
    <w:rsid w:val="002D4EA5"/>
    <w:rsid w:val="002D54E6"/>
    <w:rsid w:val="002E0A94"/>
    <w:rsid w:val="002E4EAA"/>
    <w:rsid w:val="002F1A99"/>
    <w:rsid w:val="002F1AF7"/>
    <w:rsid w:val="002F2335"/>
    <w:rsid w:val="002F2F01"/>
    <w:rsid w:val="002F52D2"/>
    <w:rsid w:val="003004E3"/>
    <w:rsid w:val="00307B0C"/>
    <w:rsid w:val="00310604"/>
    <w:rsid w:val="00312917"/>
    <w:rsid w:val="00312BAC"/>
    <w:rsid w:val="00312FB2"/>
    <w:rsid w:val="00315432"/>
    <w:rsid w:val="003201C0"/>
    <w:rsid w:val="00321F55"/>
    <w:rsid w:val="0032398C"/>
    <w:rsid w:val="00326D30"/>
    <w:rsid w:val="003301EA"/>
    <w:rsid w:val="00330D67"/>
    <w:rsid w:val="00332642"/>
    <w:rsid w:val="00334C14"/>
    <w:rsid w:val="0033634A"/>
    <w:rsid w:val="0033705A"/>
    <w:rsid w:val="00337F8D"/>
    <w:rsid w:val="00344B11"/>
    <w:rsid w:val="00346D72"/>
    <w:rsid w:val="00350483"/>
    <w:rsid w:val="003519B0"/>
    <w:rsid w:val="00353215"/>
    <w:rsid w:val="00354FFD"/>
    <w:rsid w:val="003552B4"/>
    <w:rsid w:val="00357C3D"/>
    <w:rsid w:val="00370886"/>
    <w:rsid w:val="0037199E"/>
    <w:rsid w:val="00371AC7"/>
    <w:rsid w:val="00374315"/>
    <w:rsid w:val="00375759"/>
    <w:rsid w:val="00383CF5"/>
    <w:rsid w:val="00385003"/>
    <w:rsid w:val="003853D8"/>
    <w:rsid w:val="00385C10"/>
    <w:rsid w:val="00387172"/>
    <w:rsid w:val="00387C6C"/>
    <w:rsid w:val="0039008A"/>
    <w:rsid w:val="00392B86"/>
    <w:rsid w:val="00394ABD"/>
    <w:rsid w:val="00395E9C"/>
    <w:rsid w:val="0039619C"/>
    <w:rsid w:val="003961A9"/>
    <w:rsid w:val="00396235"/>
    <w:rsid w:val="00397D34"/>
    <w:rsid w:val="003A32BE"/>
    <w:rsid w:val="003A3F66"/>
    <w:rsid w:val="003A40DC"/>
    <w:rsid w:val="003A47AD"/>
    <w:rsid w:val="003A4B4A"/>
    <w:rsid w:val="003A5C25"/>
    <w:rsid w:val="003A5F19"/>
    <w:rsid w:val="003A63A2"/>
    <w:rsid w:val="003B13C6"/>
    <w:rsid w:val="003B1F10"/>
    <w:rsid w:val="003C2A72"/>
    <w:rsid w:val="003D16A3"/>
    <w:rsid w:val="003D4095"/>
    <w:rsid w:val="003D562D"/>
    <w:rsid w:val="003D64E4"/>
    <w:rsid w:val="003E0646"/>
    <w:rsid w:val="003E24EC"/>
    <w:rsid w:val="003E4786"/>
    <w:rsid w:val="003E5B1E"/>
    <w:rsid w:val="003E5C9C"/>
    <w:rsid w:val="003F1AB6"/>
    <w:rsid w:val="003F31F4"/>
    <w:rsid w:val="003F3655"/>
    <w:rsid w:val="003F3991"/>
    <w:rsid w:val="003F43E4"/>
    <w:rsid w:val="003F4635"/>
    <w:rsid w:val="003F4644"/>
    <w:rsid w:val="003F603B"/>
    <w:rsid w:val="003F6FD3"/>
    <w:rsid w:val="003F7AC4"/>
    <w:rsid w:val="00401CC5"/>
    <w:rsid w:val="00403623"/>
    <w:rsid w:val="0040365F"/>
    <w:rsid w:val="004039EB"/>
    <w:rsid w:val="00404684"/>
    <w:rsid w:val="00404687"/>
    <w:rsid w:val="00405838"/>
    <w:rsid w:val="00405A54"/>
    <w:rsid w:val="00405ECC"/>
    <w:rsid w:val="00406053"/>
    <w:rsid w:val="004107E8"/>
    <w:rsid w:val="0041287B"/>
    <w:rsid w:val="00412EBB"/>
    <w:rsid w:val="004145EA"/>
    <w:rsid w:val="00417887"/>
    <w:rsid w:val="00417B40"/>
    <w:rsid w:val="00417D2A"/>
    <w:rsid w:val="004209B0"/>
    <w:rsid w:val="00421413"/>
    <w:rsid w:val="00421B31"/>
    <w:rsid w:val="0042213D"/>
    <w:rsid w:val="0042252C"/>
    <w:rsid w:val="00422F36"/>
    <w:rsid w:val="0042576E"/>
    <w:rsid w:val="00427293"/>
    <w:rsid w:val="004322E6"/>
    <w:rsid w:val="00433D93"/>
    <w:rsid w:val="00435AC2"/>
    <w:rsid w:val="00435B37"/>
    <w:rsid w:val="004362BD"/>
    <w:rsid w:val="004367BA"/>
    <w:rsid w:val="004368C3"/>
    <w:rsid w:val="00437CF9"/>
    <w:rsid w:val="0044027E"/>
    <w:rsid w:val="004419B7"/>
    <w:rsid w:val="004445A2"/>
    <w:rsid w:val="00445683"/>
    <w:rsid w:val="004523E9"/>
    <w:rsid w:val="004557E3"/>
    <w:rsid w:val="00456F12"/>
    <w:rsid w:val="0045715B"/>
    <w:rsid w:val="004575C8"/>
    <w:rsid w:val="00463744"/>
    <w:rsid w:val="004638E2"/>
    <w:rsid w:val="00463EC3"/>
    <w:rsid w:val="00464096"/>
    <w:rsid w:val="00466494"/>
    <w:rsid w:val="004665BD"/>
    <w:rsid w:val="00467902"/>
    <w:rsid w:val="00471948"/>
    <w:rsid w:val="004728B1"/>
    <w:rsid w:val="0047404C"/>
    <w:rsid w:val="0047662E"/>
    <w:rsid w:val="00476E7B"/>
    <w:rsid w:val="0048065C"/>
    <w:rsid w:val="00480845"/>
    <w:rsid w:val="00480B9A"/>
    <w:rsid w:val="00480D47"/>
    <w:rsid w:val="00481617"/>
    <w:rsid w:val="0048271A"/>
    <w:rsid w:val="00483629"/>
    <w:rsid w:val="00487710"/>
    <w:rsid w:val="00490A83"/>
    <w:rsid w:val="00490CBF"/>
    <w:rsid w:val="00491555"/>
    <w:rsid w:val="00491918"/>
    <w:rsid w:val="00492A9F"/>
    <w:rsid w:val="00495B24"/>
    <w:rsid w:val="0049767B"/>
    <w:rsid w:val="00497A40"/>
    <w:rsid w:val="004A39DD"/>
    <w:rsid w:val="004A4914"/>
    <w:rsid w:val="004B0BCC"/>
    <w:rsid w:val="004B7511"/>
    <w:rsid w:val="004C0A16"/>
    <w:rsid w:val="004C1326"/>
    <w:rsid w:val="004C1425"/>
    <w:rsid w:val="004C6D95"/>
    <w:rsid w:val="004C7231"/>
    <w:rsid w:val="004D01E2"/>
    <w:rsid w:val="004D1D26"/>
    <w:rsid w:val="004D54C6"/>
    <w:rsid w:val="004E0F26"/>
    <w:rsid w:val="004E431B"/>
    <w:rsid w:val="004E5A06"/>
    <w:rsid w:val="004E5CA7"/>
    <w:rsid w:val="004E7227"/>
    <w:rsid w:val="004E780B"/>
    <w:rsid w:val="004F2793"/>
    <w:rsid w:val="00503D26"/>
    <w:rsid w:val="00504B8D"/>
    <w:rsid w:val="005053D1"/>
    <w:rsid w:val="005064FA"/>
    <w:rsid w:val="00506C3E"/>
    <w:rsid w:val="00512A58"/>
    <w:rsid w:val="00515253"/>
    <w:rsid w:val="00516030"/>
    <w:rsid w:val="00516D4A"/>
    <w:rsid w:val="00517FA6"/>
    <w:rsid w:val="005224E1"/>
    <w:rsid w:val="005229D0"/>
    <w:rsid w:val="00522B47"/>
    <w:rsid w:val="0052623A"/>
    <w:rsid w:val="00531469"/>
    <w:rsid w:val="005365DC"/>
    <w:rsid w:val="005377A9"/>
    <w:rsid w:val="00537825"/>
    <w:rsid w:val="0054059C"/>
    <w:rsid w:val="00540C82"/>
    <w:rsid w:val="0054361E"/>
    <w:rsid w:val="0054529D"/>
    <w:rsid w:val="0054674F"/>
    <w:rsid w:val="00546B6A"/>
    <w:rsid w:val="00546F85"/>
    <w:rsid w:val="005478B2"/>
    <w:rsid w:val="00551846"/>
    <w:rsid w:val="00554211"/>
    <w:rsid w:val="005549D4"/>
    <w:rsid w:val="00554DBB"/>
    <w:rsid w:val="0056390D"/>
    <w:rsid w:val="00563DA4"/>
    <w:rsid w:val="005738F0"/>
    <w:rsid w:val="005742AC"/>
    <w:rsid w:val="005837DD"/>
    <w:rsid w:val="0058479D"/>
    <w:rsid w:val="00585DAF"/>
    <w:rsid w:val="00590307"/>
    <w:rsid w:val="00590BAB"/>
    <w:rsid w:val="005916FB"/>
    <w:rsid w:val="005946E3"/>
    <w:rsid w:val="00597BA5"/>
    <w:rsid w:val="005A1EA3"/>
    <w:rsid w:val="005A3310"/>
    <w:rsid w:val="005A345F"/>
    <w:rsid w:val="005A3E97"/>
    <w:rsid w:val="005A44D3"/>
    <w:rsid w:val="005A4F6A"/>
    <w:rsid w:val="005A5100"/>
    <w:rsid w:val="005A5217"/>
    <w:rsid w:val="005A66DD"/>
    <w:rsid w:val="005A7BB0"/>
    <w:rsid w:val="005B0E4A"/>
    <w:rsid w:val="005B1160"/>
    <w:rsid w:val="005B2B8E"/>
    <w:rsid w:val="005B306D"/>
    <w:rsid w:val="005B55BA"/>
    <w:rsid w:val="005C0695"/>
    <w:rsid w:val="005C239F"/>
    <w:rsid w:val="005C4CE1"/>
    <w:rsid w:val="005C5C36"/>
    <w:rsid w:val="005D2B67"/>
    <w:rsid w:val="005D2B68"/>
    <w:rsid w:val="005D3468"/>
    <w:rsid w:val="005D644C"/>
    <w:rsid w:val="005D64A0"/>
    <w:rsid w:val="005D6585"/>
    <w:rsid w:val="005D75BE"/>
    <w:rsid w:val="005E11E9"/>
    <w:rsid w:val="005E4A29"/>
    <w:rsid w:val="005E56F3"/>
    <w:rsid w:val="005E7BF2"/>
    <w:rsid w:val="005F0ED5"/>
    <w:rsid w:val="005F138E"/>
    <w:rsid w:val="005F2A07"/>
    <w:rsid w:val="005F4AA5"/>
    <w:rsid w:val="005F6CA2"/>
    <w:rsid w:val="005F7F1C"/>
    <w:rsid w:val="006030C6"/>
    <w:rsid w:val="00604642"/>
    <w:rsid w:val="00615A30"/>
    <w:rsid w:val="00616661"/>
    <w:rsid w:val="00616CEE"/>
    <w:rsid w:val="0062081B"/>
    <w:rsid w:val="00625BB6"/>
    <w:rsid w:val="00626019"/>
    <w:rsid w:val="0062763E"/>
    <w:rsid w:val="00627CF9"/>
    <w:rsid w:val="00634433"/>
    <w:rsid w:val="00635772"/>
    <w:rsid w:val="00635C68"/>
    <w:rsid w:val="00635CBD"/>
    <w:rsid w:val="00637DA3"/>
    <w:rsid w:val="00640174"/>
    <w:rsid w:val="0064039B"/>
    <w:rsid w:val="0064131F"/>
    <w:rsid w:val="00642990"/>
    <w:rsid w:val="0064533A"/>
    <w:rsid w:val="00646461"/>
    <w:rsid w:val="00646FD7"/>
    <w:rsid w:val="006473F4"/>
    <w:rsid w:val="0065089F"/>
    <w:rsid w:val="006521FC"/>
    <w:rsid w:val="00653671"/>
    <w:rsid w:val="00654475"/>
    <w:rsid w:val="006570B1"/>
    <w:rsid w:val="00662011"/>
    <w:rsid w:val="0066263F"/>
    <w:rsid w:val="00663AED"/>
    <w:rsid w:val="00666FAD"/>
    <w:rsid w:val="006672B8"/>
    <w:rsid w:val="00671E5E"/>
    <w:rsid w:val="00672481"/>
    <w:rsid w:val="006740DC"/>
    <w:rsid w:val="00677559"/>
    <w:rsid w:val="00685AB6"/>
    <w:rsid w:val="00687CDA"/>
    <w:rsid w:val="00690DB0"/>
    <w:rsid w:val="00691CC5"/>
    <w:rsid w:val="00692465"/>
    <w:rsid w:val="006959A1"/>
    <w:rsid w:val="006962FF"/>
    <w:rsid w:val="00696F16"/>
    <w:rsid w:val="006A349B"/>
    <w:rsid w:val="006A351B"/>
    <w:rsid w:val="006A4BB9"/>
    <w:rsid w:val="006A6CE4"/>
    <w:rsid w:val="006A78E5"/>
    <w:rsid w:val="006B36BC"/>
    <w:rsid w:val="006B3A28"/>
    <w:rsid w:val="006B42A7"/>
    <w:rsid w:val="006B55DD"/>
    <w:rsid w:val="006B6EB5"/>
    <w:rsid w:val="006C2007"/>
    <w:rsid w:val="006C256E"/>
    <w:rsid w:val="006D00AB"/>
    <w:rsid w:val="006D08F9"/>
    <w:rsid w:val="006D0A70"/>
    <w:rsid w:val="006D0E66"/>
    <w:rsid w:val="006D2517"/>
    <w:rsid w:val="006D3B83"/>
    <w:rsid w:val="006D4471"/>
    <w:rsid w:val="006D556C"/>
    <w:rsid w:val="006D6344"/>
    <w:rsid w:val="006E3934"/>
    <w:rsid w:val="006E4501"/>
    <w:rsid w:val="006E55C8"/>
    <w:rsid w:val="006E78E6"/>
    <w:rsid w:val="006F2C02"/>
    <w:rsid w:val="006F77E5"/>
    <w:rsid w:val="006F7D1F"/>
    <w:rsid w:val="007004BC"/>
    <w:rsid w:val="00700AF8"/>
    <w:rsid w:val="00701387"/>
    <w:rsid w:val="0070233E"/>
    <w:rsid w:val="00703EAB"/>
    <w:rsid w:val="007053DE"/>
    <w:rsid w:val="00711114"/>
    <w:rsid w:val="00712B17"/>
    <w:rsid w:val="007179AA"/>
    <w:rsid w:val="00717F35"/>
    <w:rsid w:val="00720146"/>
    <w:rsid w:val="007220C9"/>
    <w:rsid w:val="007264B8"/>
    <w:rsid w:val="0073186E"/>
    <w:rsid w:val="00731903"/>
    <w:rsid w:val="007332F7"/>
    <w:rsid w:val="007335ED"/>
    <w:rsid w:val="00733C02"/>
    <w:rsid w:val="00736EF7"/>
    <w:rsid w:val="00741A54"/>
    <w:rsid w:val="00742092"/>
    <w:rsid w:val="007421AC"/>
    <w:rsid w:val="007425D7"/>
    <w:rsid w:val="00747B29"/>
    <w:rsid w:val="00751833"/>
    <w:rsid w:val="00754BA4"/>
    <w:rsid w:val="00756C7C"/>
    <w:rsid w:val="00756E50"/>
    <w:rsid w:val="00761066"/>
    <w:rsid w:val="007615F1"/>
    <w:rsid w:val="00762771"/>
    <w:rsid w:val="00762A16"/>
    <w:rsid w:val="00763141"/>
    <w:rsid w:val="00763BB6"/>
    <w:rsid w:val="00764DE6"/>
    <w:rsid w:val="00767932"/>
    <w:rsid w:val="00771E0B"/>
    <w:rsid w:val="0077400C"/>
    <w:rsid w:val="00777B99"/>
    <w:rsid w:val="00780639"/>
    <w:rsid w:val="0078123A"/>
    <w:rsid w:val="007840CB"/>
    <w:rsid w:val="00786764"/>
    <w:rsid w:val="00786846"/>
    <w:rsid w:val="00790FFC"/>
    <w:rsid w:val="007938DF"/>
    <w:rsid w:val="00797F61"/>
    <w:rsid w:val="007A175B"/>
    <w:rsid w:val="007A24AA"/>
    <w:rsid w:val="007A2B2A"/>
    <w:rsid w:val="007A2E37"/>
    <w:rsid w:val="007A4124"/>
    <w:rsid w:val="007A51EE"/>
    <w:rsid w:val="007A5BDC"/>
    <w:rsid w:val="007A74CD"/>
    <w:rsid w:val="007B3982"/>
    <w:rsid w:val="007B3A33"/>
    <w:rsid w:val="007B40BE"/>
    <w:rsid w:val="007B4997"/>
    <w:rsid w:val="007B738F"/>
    <w:rsid w:val="007B7C3C"/>
    <w:rsid w:val="007C22C5"/>
    <w:rsid w:val="007C2AE9"/>
    <w:rsid w:val="007C386B"/>
    <w:rsid w:val="007C649C"/>
    <w:rsid w:val="007D3D46"/>
    <w:rsid w:val="007D3FED"/>
    <w:rsid w:val="007D4861"/>
    <w:rsid w:val="007D5472"/>
    <w:rsid w:val="007E44E6"/>
    <w:rsid w:val="007E5B0D"/>
    <w:rsid w:val="007E7576"/>
    <w:rsid w:val="007E78FA"/>
    <w:rsid w:val="007E7C17"/>
    <w:rsid w:val="007E7F9E"/>
    <w:rsid w:val="007F1B88"/>
    <w:rsid w:val="007F6EBB"/>
    <w:rsid w:val="007F7505"/>
    <w:rsid w:val="00800C80"/>
    <w:rsid w:val="008101BB"/>
    <w:rsid w:val="00810373"/>
    <w:rsid w:val="00810EBF"/>
    <w:rsid w:val="008112BB"/>
    <w:rsid w:val="00814130"/>
    <w:rsid w:val="00814DF2"/>
    <w:rsid w:val="00816BF5"/>
    <w:rsid w:val="00816E42"/>
    <w:rsid w:val="008202EE"/>
    <w:rsid w:val="00822A04"/>
    <w:rsid w:val="00824789"/>
    <w:rsid w:val="00825553"/>
    <w:rsid w:val="00826419"/>
    <w:rsid w:val="00830385"/>
    <w:rsid w:val="00830EC5"/>
    <w:rsid w:val="00832463"/>
    <w:rsid w:val="00834786"/>
    <w:rsid w:val="008348AC"/>
    <w:rsid w:val="00835193"/>
    <w:rsid w:val="008358A2"/>
    <w:rsid w:val="00835D1D"/>
    <w:rsid w:val="008362A4"/>
    <w:rsid w:val="008372DE"/>
    <w:rsid w:val="008408E0"/>
    <w:rsid w:val="00840C99"/>
    <w:rsid w:val="0084134F"/>
    <w:rsid w:val="00841F21"/>
    <w:rsid w:val="0084263F"/>
    <w:rsid w:val="00842867"/>
    <w:rsid w:val="00845F59"/>
    <w:rsid w:val="00852DE8"/>
    <w:rsid w:val="00854A17"/>
    <w:rsid w:val="00860314"/>
    <w:rsid w:val="0086504B"/>
    <w:rsid w:val="00866CDE"/>
    <w:rsid w:val="008701F6"/>
    <w:rsid w:val="00870705"/>
    <w:rsid w:val="008720C0"/>
    <w:rsid w:val="00872DA4"/>
    <w:rsid w:val="0087342C"/>
    <w:rsid w:val="00876975"/>
    <w:rsid w:val="00877FF8"/>
    <w:rsid w:val="0088535B"/>
    <w:rsid w:val="0089117D"/>
    <w:rsid w:val="00893514"/>
    <w:rsid w:val="00894E07"/>
    <w:rsid w:val="00896C89"/>
    <w:rsid w:val="0089730A"/>
    <w:rsid w:val="008A16AA"/>
    <w:rsid w:val="008A26D2"/>
    <w:rsid w:val="008A2BB1"/>
    <w:rsid w:val="008A3027"/>
    <w:rsid w:val="008A35CC"/>
    <w:rsid w:val="008A456B"/>
    <w:rsid w:val="008A4719"/>
    <w:rsid w:val="008A66FC"/>
    <w:rsid w:val="008B270C"/>
    <w:rsid w:val="008B42A1"/>
    <w:rsid w:val="008B627C"/>
    <w:rsid w:val="008B71AA"/>
    <w:rsid w:val="008B7329"/>
    <w:rsid w:val="008B77E9"/>
    <w:rsid w:val="008C0B78"/>
    <w:rsid w:val="008C1FFC"/>
    <w:rsid w:val="008C39E2"/>
    <w:rsid w:val="008D5E12"/>
    <w:rsid w:val="008E14BA"/>
    <w:rsid w:val="008E1557"/>
    <w:rsid w:val="008E1BDE"/>
    <w:rsid w:val="008E4347"/>
    <w:rsid w:val="008E448F"/>
    <w:rsid w:val="008E5225"/>
    <w:rsid w:val="008E594F"/>
    <w:rsid w:val="008E72F8"/>
    <w:rsid w:val="008E7836"/>
    <w:rsid w:val="008F15F9"/>
    <w:rsid w:val="008F1931"/>
    <w:rsid w:val="008F295C"/>
    <w:rsid w:val="008F30E2"/>
    <w:rsid w:val="008F31CB"/>
    <w:rsid w:val="008F6B56"/>
    <w:rsid w:val="00900B6F"/>
    <w:rsid w:val="00901257"/>
    <w:rsid w:val="00901B76"/>
    <w:rsid w:val="00901D33"/>
    <w:rsid w:val="009025E6"/>
    <w:rsid w:val="009050A2"/>
    <w:rsid w:val="009131D4"/>
    <w:rsid w:val="0091529E"/>
    <w:rsid w:val="00915832"/>
    <w:rsid w:val="00916B35"/>
    <w:rsid w:val="00917278"/>
    <w:rsid w:val="0092099C"/>
    <w:rsid w:val="00921A39"/>
    <w:rsid w:val="009247ED"/>
    <w:rsid w:val="00926750"/>
    <w:rsid w:val="009277B1"/>
    <w:rsid w:val="00935D50"/>
    <w:rsid w:val="00941736"/>
    <w:rsid w:val="00941950"/>
    <w:rsid w:val="009456EC"/>
    <w:rsid w:val="0094733E"/>
    <w:rsid w:val="009505F1"/>
    <w:rsid w:val="00950609"/>
    <w:rsid w:val="00950D17"/>
    <w:rsid w:val="00955DC5"/>
    <w:rsid w:val="009577D0"/>
    <w:rsid w:val="009617CC"/>
    <w:rsid w:val="00962F17"/>
    <w:rsid w:val="009641C5"/>
    <w:rsid w:val="00966368"/>
    <w:rsid w:val="00967C28"/>
    <w:rsid w:val="00970089"/>
    <w:rsid w:val="00970946"/>
    <w:rsid w:val="00971DC4"/>
    <w:rsid w:val="00972E2C"/>
    <w:rsid w:val="00973A8E"/>
    <w:rsid w:val="00973D58"/>
    <w:rsid w:val="0097413C"/>
    <w:rsid w:val="0097481D"/>
    <w:rsid w:val="00974C11"/>
    <w:rsid w:val="00974EBF"/>
    <w:rsid w:val="00975D83"/>
    <w:rsid w:val="00977AE3"/>
    <w:rsid w:val="00980879"/>
    <w:rsid w:val="00983DB1"/>
    <w:rsid w:val="0099143D"/>
    <w:rsid w:val="0099161E"/>
    <w:rsid w:val="00993FB9"/>
    <w:rsid w:val="009942DD"/>
    <w:rsid w:val="00994FDA"/>
    <w:rsid w:val="009959E1"/>
    <w:rsid w:val="00997D4A"/>
    <w:rsid w:val="009A0D56"/>
    <w:rsid w:val="009A1225"/>
    <w:rsid w:val="009A1A5A"/>
    <w:rsid w:val="009A2AD8"/>
    <w:rsid w:val="009A348B"/>
    <w:rsid w:val="009A423B"/>
    <w:rsid w:val="009A511F"/>
    <w:rsid w:val="009B354E"/>
    <w:rsid w:val="009B3D31"/>
    <w:rsid w:val="009B62A2"/>
    <w:rsid w:val="009B6ADD"/>
    <w:rsid w:val="009B7684"/>
    <w:rsid w:val="009C06D9"/>
    <w:rsid w:val="009C34F4"/>
    <w:rsid w:val="009C58F3"/>
    <w:rsid w:val="009C5B93"/>
    <w:rsid w:val="009C6A2B"/>
    <w:rsid w:val="009D1A84"/>
    <w:rsid w:val="009D26AF"/>
    <w:rsid w:val="009D28DC"/>
    <w:rsid w:val="009D4111"/>
    <w:rsid w:val="009E18ED"/>
    <w:rsid w:val="009E212A"/>
    <w:rsid w:val="009E2D21"/>
    <w:rsid w:val="009E2E32"/>
    <w:rsid w:val="009E5B94"/>
    <w:rsid w:val="009E76F6"/>
    <w:rsid w:val="009F2519"/>
    <w:rsid w:val="009F38D7"/>
    <w:rsid w:val="009F419D"/>
    <w:rsid w:val="009F6159"/>
    <w:rsid w:val="00A003E2"/>
    <w:rsid w:val="00A00742"/>
    <w:rsid w:val="00A00C13"/>
    <w:rsid w:val="00A00CFB"/>
    <w:rsid w:val="00A0308F"/>
    <w:rsid w:val="00A0380A"/>
    <w:rsid w:val="00A04739"/>
    <w:rsid w:val="00A11DEF"/>
    <w:rsid w:val="00A1335A"/>
    <w:rsid w:val="00A15E9C"/>
    <w:rsid w:val="00A21040"/>
    <w:rsid w:val="00A2198A"/>
    <w:rsid w:val="00A237C4"/>
    <w:rsid w:val="00A25BAB"/>
    <w:rsid w:val="00A31A7F"/>
    <w:rsid w:val="00A3373C"/>
    <w:rsid w:val="00A36553"/>
    <w:rsid w:val="00A376F0"/>
    <w:rsid w:val="00A424E4"/>
    <w:rsid w:val="00A43A5A"/>
    <w:rsid w:val="00A44946"/>
    <w:rsid w:val="00A47D0D"/>
    <w:rsid w:val="00A47DA6"/>
    <w:rsid w:val="00A514C6"/>
    <w:rsid w:val="00A5241A"/>
    <w:rsid w:val="00A555EA"/>
    <w:rsid w:val="00A563D4"/>
    <w:rsid w:val="00A5679E"/>
    <w:rsid w:val="00A57A1B"/>
    <w:rsid w:val="00A6413E"/>
    <w:rsid w:val="00A653A3"/>
    <w:rsid w:val="00A65A4A"/>
    <w:rsid w:val="00A70486"/>
    <w:rsid w:val="00A76617"/>
    <w:rsid w:val="00A76D15"/>
    <w:rsid w:val="00A81D83"/>
    <w:rsid w:val="00A8465B"/>
    <w:rsid w:val="00A939FC"/>
    <w:rsid w:val="00A94F18"/>
    <w:rsid w:val="00A95E76"/>
    <w:rsid w:val="00A97027"/>
    <w:rsid w:val="00AA2194"/>
    <w:rsid w:val="00AA2A2B"/>
    <w:rsid w:val="00AA2CBB"/>
    <w:rsid w:val="00AA334C"/>
    <w:rsid w:val="00AA4948"/>
    <w:rsid w:val="00AA588C"/>
    <w:rsid w:val="00AA78FB"/>
    <w:rsid w:val="00AB0AE0"/>
    <w:rsid w:val="00AB3B24"/>
    <w:rsid w:val="00AC30BA"/>
    <w:rsid w:val="00AC34C1"/>
    <w:rsid w:val="00AC50B2"/>
    <w:rsid w:val="00AD03CB"/>
    <w:rsid w:val="00AD0D8F"/>
    <w:rsid w:val="00AD4101"/>
    <w:rsid w:val="00AD52B1"/>
    <w:rsid w:val="00AD67F7"/>
    <w:rsid w:val="00AD697B"/>
    <w:rsid w:val="00AD77A2"/>
    <w:rsid w:val="00AD7C77"/>
    <w:rsid w:val="00AE01C3"/>
    <w:rsid w:val="00AE106D"/>
    <w:rsid w:val="00AE211A"/>
    <w:rsid w:val="00AE3F19"/>
    <w:rsid w:val="00AE7BF1"/>
    <w:rsid w:val="00AF0A90"/>
    <w:rsid w:val="00AF20B9"/>
    <w:rsid w:val="00AF5B20"/>
    <w:rsid w:val="00B0050B"/>
    <w:rsid w:val="00B00F80"/>
    <w:rsid w:val="00B030ED"/>
    <w:rsid w:val="00B06FC9"/>
    <w:rsid w:val="00B0704C"/>
    <w:rsid w:val="00B077DC"/>
    <w:rsid w:val="00B07F02"/>
    <w:rsid w:val="00B10A04"/>
    <w:rsid w:val="00B136C1"/>
    <w:rsid w:val="00B1723C"/>
    <w:rsid w:val="00B176AC"/>
    <w:rsid w:val="00B20394"/>
    <w:rsid w:val="00B21DCD"/>
    <w:rsid w:val="00B21DD5"/>
    <w:rsid w:val="00B23637"/>
    <w:rsid w:val="00B23642"/>
    <w:rsid w:val="00B248B5"/>
    <w:rsid w:val="00B30279"/>
    <w:rsid w:val="00B32E41"/>
    <w:rsid w:val="00B33F5C"/>
    <w:rsid w:val="00B40053"/>
    <w:rsid w:val="00B4096D"/>
    <w:rsid w:val="00B43262"/>
    <w:rsid w:val="00B44B0C"/>
    <w:rsid w:val="00B4555A"/>
    <w:rsid w:val="00B45FEA"/>
    <w:rsid w:val="00B46B82"/>
    <w:rsid w:val="00B476C1"/>
    <w:rsid w:val="00B51AA2"/>
    <w:rsid w:val="00B52714"/>
    <w:rsid w:val="00B53285"/>
    <w:rsid w:val="00B544F6"/>
    <w:rsid w:val="00B57FB8"/>
    <w:rsid w:val="00B608DB"/>
    <w:rsid w:val="00B63649"/>
    <w:rsid w:val="00B66D65"/>
    <w:rsid w:val="00B72BB7"/>
    <w:rsid w:val="00B76651"/>
    <w:rsid w:val="00B76A9F"/>
    <w:rsid w:val="00B76CFA"/>
    <w:rsid w:val="00B81644"/>
    <w:rsid w:val="00B8461A"/>
    <w:rsid w:val="00B90A1C"/>
    <w:rsid w:val="00B90B0C"/>
    <w:rsid w:val="00B92609"/>
    <w:rsid w:val="00B92840"/>
    <w:rsid w:val="00B95139"/>
    <w:rsid w:val="00B95608"/>
    <w:rsid w:val="00BA0C9C"/>
    <w:rsid w:val="00BA16E7"/>
    <w:rsid w:val="00BA1FF8"/>
    <w:rsid w:val="00BA38EA"/>
    <w:rsid w:val="00BA4BA1"/>
    <w:rsid w:val="00BA5EDE"/>
    <w:rsid w:val="00BA6E28"/>
    <w:rsid w:val="00BA7A43"/>
    <w:rsid w:val="00BB0E64"/>
    <w:rsid w:val="00BB103D"/>
    <w:rsid w:val="00BB1489"/>
    <w:rsid w:val="00BB1DFA"/>
    <w:rsid w:val="00BB5279"/>
    <w:rsid w:val="00BB6EBB"/>
    <w:rsid w:val="00BC09A9"/>
    <w:rsid w:val="00BC09B2"/>
    <w:rsid w:val="00BC40A7"/>
    <w:rsid w:val="00BC4A4E"/>
    <w:rsid w:val="00BC63BA"/>
    <w:rsid w:val="00BC6C94"/>
    <w:rsid w:val="00BC7827"/>
    <w:rsid w:val="00BC799D"/>
    <w:rsid w:val="00BD05DC"/>
    <w:rsid w:val="00BD142D"/>
    <w:rsid w:val="00BD17DC"/>
    <w:rsid w:val="00BD4191"/>
    <w:rsid w:val="00BD6F9A"/>
    <w:rsid w:val="00BD74A5"/>
    <w:rsid w:val="00BE1591"/>
    <w:rsid w:val="00BE22B5"/>
    <w:rsid w:val="00BE296C"/>
    <w:rsid w:val="00BE4B63"/>
    <w:rsid w:val="00BE57C9"/>
    <w:rsid w:val="00BE5E59"/>
    <w:rsid w:val="00BE643C"/>
    <w:rsid w:val="00BE7786"/>
    <w:rsid w:val="00BF2A9C"/>
    <w:rsid w:val="00BF7D87"/>
    <w:rsid w:val="00C050BC"/>
    <w:rsid w:val="00C073AC"/>
    <w:rsid w:val="00C07F3A"/>
    <w:rsid w:val="00C13DC2"/>
    <w:rsid w:val="00C14112"/>
    <w:rsid w:val="00C14F47"/>
    <w:rsid w:val="00C1676A"/>
    <w:rsid w:val="00C21B3A"/>
    <w:rsid w:val="00C25A2B"/>
    <w:rsid w:val="00C271AD"/>
    <w:rsid w:val="00C332DA"/>
    <w:rsid w:val="00C33BE0"/>
    <w:rsid w:val="00C342D8"/>
    <w:rsid w:val="00C34790"/>
    <w:rsid w:val="00C34B18"/>
    <w:rsid w:val="00C37A46"/>
    <w:rsid w:val="00C37B07"/>
    <w:rsid w:val="00C4086A"/>
    <w:rsid w:val="00C40E0C"/>
    <w:rsid w:val="00C41BDE"/>
    <w:rsid w:val="00C42618"/>
    <w:rsid w:val="00C437FE"/>
    <w:rsid w:val="00C44527"/>
    <w:rsid w:val="00C45F9F"/>
    <w:rsid w:val="00C466DC"/>
    <w:rsid w:val="00C47011"/>
    <w:rsid w:val="00C47DAB"/>
    <w:rsid w:val="00C52057"/>
    <w:rsid w:val="00C52FBE"/>
    <w:rsid w:val="00C5410A"/>
    <w:rsid w:val="00C5521C"/>
    <w:rsid w:val="00C558A5"/>
    <w:rsid w:val="00C55A2E"/>
    <w:rsid w:val="00C567B9"/>
    <w:rsid w:val="00C636BE"/>
    <w:rsid w:val="00C646ED"/>
    <w:rsid w:val="00C67131"/>
    <w:rsid w:val="00C705F9"/>
    <w:rsid w:val="00C70A93"/>
    <w:rsid w:val="00C713F2"/>
    <w:rsid w:val="00C719FD"/>
    <w:rsid w:val="00C71BBB"/>
    <w:rsid w:val="00C72875"/>
    <w:rsid w:val="00C7290F"/>
    <w:rsid w:val="00C741B5"/>
    <w:rsid w:val="00C76961"/>
    <w:rsid w:val="00C76D36"/>
    <w:rsid w:val="00C77CA1"/>
    <w:rsid w:val="00C820A2"/>
    <w:rsid w:val="00C82B63"/>
    <w:rsid w:val="00C83B67"/>
    <w:rsid w:val="00C860FA"/>
    <w:rsid w:val="00C876DB"/>
    <w:rsid w:val="00C87D2F"/>
    <w:rsid w:val="00C93545"/>
    <w:rsid w:val="00C939CA"/>
    <w:rsid w:val="00C93C8F"/>
    <w:rsid w:val="00C95F5B"/>
    <w:rsid w:val="00CA0062"/>
    <w:rsid w:val="00CB0E09"/>
    <w:rsid w:val="00CB1263"/>
    <w:rsid w:val="00CB1FA7"/>
    <w:rsid w:val="00CB279D"/>
    <w:rsid w:val="00CB4845"/>
    <w:rsid w:val="00CB4DC4"/>
    <w:rsid w:val="00CB6FFE"/>
    <w:rsid w:val="00CC12D0"/>
    <w:rsid w:val="00CC74EA"/>
    <w:rsid w:val="00CC760E"/>
    <w:rsid w:val="00CD0A00"/>
    <w:rsid w:val="00CD187B"/>
    <w:rsid w:val="00CD46E2"/>
    <w:rsid w:val="00CD5FFA"/>
    <w:rsid w:val="00CD72ED"/>
    <w:rsid w:val="00CD7861"/>
    <w:rsid w:val="00CD7F3D"/>
    <w:rsid w:val="00CE2845"/>
    <w:rsid w:val="00CE2BC8"/>
    <w:rsid w:val="00CE2C1B"/>
    <w:rsid w:val="00CE303D"/>
    <w:rsid w:val="00CF0AF7"/>
    <w:rsid w:val="00CF2653"/>
    <w:rsid w:val="00CF4A8D"/>
    <w:rsid w:val="00D0335E"/>
    <w:rsid w:val="00D03903"/>
    <w:rsid w:val="00D0417E"/>
    <w:rsid w:val="00D043AB"/>
    <w:rsid w:val="00D0441E"/>
    <w:rsid w:val="00D100C6"/>
    <w:rsid w:val="00D1128F"/>
    <w:rsid w:val="00D14AB0"/>
    <w:rsid w:val="00D15726"/>
    <w:rsid w:val="00D16037"/>
    <w:rsid w:val="00D208E5"/>
    <w:rsid w:val="00D21B35"/>
    <w:rsid w:val="00D22B46"/>
    <w:rsid w:val="00D26A39"/>
    <w:rsid w:val="00D30196"/>
    <w:rsid w:val="00D34F38"/>
    <w:rsid w:val="00D35BC3"/>
    <w:rsid w:val="00D42208"/>
    <w:rsid w:val="00D42C78"/>
    <w:rsid w:val="00D4416B"/>
    <w:rsid w:val="00D4525E"/>
    <w:rsid w:val="00D47ABA"/>
    <w:rsid w:val="00D50065"/>
    <w:rsid w:val="00D511A4"/>
    <w:rsid w:val="00D51BF4"/>
    <w:rsid w:val="00D5285A"/>
    <w:rsid w:val="00D534AF"/>
    <w:rsid w:val="00D55E86"/>
    <w:rsid w:val="00D57FCE"/>
    <w:rsid w:val="00D611EF"/>
    <w:rsid w:val="00D61865"/>
    <w:rsid w:val="00D61B94"/>
    <w:rsid w:val="00D63BC5"/>
    <w:rsid w:val="00D6589F"/>
    <w:rsid w:val="00D678A1"/>
    <w:rsid w:val="00D7465C"/>
    <w:rsid w:val="00D77C03"/>
    <w:rsid w:val="00D81AA9"/>
    <w:rsid w:val="00D840A7"/>
    <w:rsid w:val="00D84A67"/>
    <w:rsid w:val="00D91456"/>
    <w:rsid w:val="00D93059"/>
    <w:rsid w:val="00D93A2A"/>
    <w:rsid w:val="00D9663D"/>
    <w:rsid w:val="00DA058A"/>
    <w:rsid w:val="00DA1087"/>
    <w:rsid w:val="00DA1AA8"/>
    <w:rsid w:val="00DA3A5A"/>
    <w:rsid w:val="00DB1187"/>
    <w:rsid w:val="00DB4081"/>
    <w:rsid w:val="00DB525C"/>
    <w:rsid w:val="00DB5852"/>
    <w:rsid w:val="00DB5C07"/>
    <w:rsid w:val="00DB7CAD"/>
    <w:rsid w:val="00DC052D"/>
    <w:rsid w:val="00DC158E"/>
    <w:rsid w:val="00DC1D4F"/>
    <w:rsid w:val="00DC6FC8"/>
    <w:rsid w:val="00DC787E"/>
    <w:rsid w:val="00DD01AF"/>
    <w:rsid w:val="00DD160A"/>
    <w:rsid w:val="00DD27D3"/>
    <w:rsid w:val="00DD3324"/>
    <w:rsid w:val="00DD4ED1"/>
    <w:rsid w:val="00DD66BA"/>
    <w:rsid w:val="00DE18B5"/>
    <w:rsid w:val="00DE470F"/>
    <w:rsid w:val="00DE6721"/>
    <w:rsid w:val="00DF12D8"/>
    <w:rsid w:val="00DF3862"/>
    <w:rsid w:val="00DF497C"/>
    <w:rsid w:val="00DF6566"/>
    <w:rsid w:val="00E04137"/>
    <w:rsid w:val="00E044E1"/>
    <w:rsid w:val="00E0469C"/>
    <w:rsid w:val="00E05EF2"/>
    <w:rsid w:val="00E064A2"/>
    <w:rsid w:val="00E06EBE"/>
    <w:rsid w:val="00E10860"/>
    <w:rsid w:val="00E11E24"/>
    <w:rsid w:val="00E12C3A"/>
    <w:rsid w:val="00E15304"/>
    <w:rsid w:val="00E15D9E"/>
    <w:rsid w:val="00E179A5"/>
    <w:rsid w:val="00E20078"/>
    <w:rsid w:val="00E207EE"/>
    <w:rsid w:val="00E22708"/>
    <w:rsid w:val="00E25954"/>
    <w:rsid w:val="00E26627"/>
    <w:rsid w:val="00E278DD"/>
    <w:rsid w:val="00E30B3E"/>
    <w:rsid w:val="00E31241"/>
    <w:rsid w:val="00E32780"/>
    <w:rsid w:val="00E339EC"/>
    <w:rsid w:val="00E37398"/>
    <w:rsid w:val="00E4052E"/>
    <w:rsid w:val="00E411FB"/>
    <w:rsid w:val="00E416FE"/>
    <w:rsid w:val="00E4197A"/>
    <w:rsid w:val="00E45E25"/>
    <w:rsid w:val="00E46C0F"/>
    <w:rsid w:val="00E53A5E"/>
    <w:rsid w:val="00E567E3"/>
    <w:rsid w:val="00E576E8"/>
    <w:rsid w:val="00E624A4"/>
    <w:rsid w:val="00E62F6F"/>
    <w:rsid w:val="00E66680"/>
    <w:rsid w:val="00E674D0"/>
    <w:rsid w:val="00E739ED"/>
    <w:rsid w:val="00E745DB"/>
    <w:rsid w:val="00E7595E"/>
    <w:rsid w:val="00E76C25"/>
    <w:rsid w:val="00E7783D"/>
    <w:rsid w:val="00E81461"/>
    <w:rsid w:val="00E81C12"/>
    <w:rsid w:val="00E8338D"/>
    <w:rsid w:val="00E8577F"/>
    <w:rsid w:val="00E872B1"/>
    <w:rsid w:val="00E90B87"/>
    <w:rsid w:val="00E92972"/>
    <w:rsid w:val="00E92D22"/>
    <w:rsid w:val="00E936FA"/>
    <w:rsid w:val="00EA2FF7"/>
    <w:rsid w:val="00EA783C"/>
    <w:rsid w:val="00EB100F"/>
    <w:rsid w:val="00EB16FD"/>
    <w:rsid w:val="00EB28DA"/>
    <w:rsid w:val="00EB3461"/>
    <w:rsid w:val="00EB4712"/>
    <w:rsid w:val="00EB6B63"/>
    <w:rsid w:val="00EC1000"/>
    <w:rsid w:val="00EC1339"/>
    <w:rsid w:val="00EC26F6"/>
    <w:rsid w:val="00EC2CBF"/>
    <w:rsid w:val="00EC6C84"/>
    <w:rsid w:val="00ED1760"/>
    <w:rsid w:val="00ED3A13"/>
    <w:rsid w:val="00ED48B3"/>
    <w:rsid w:val="00ED615E"/>
    <w:rsid w:val="00ED6B44"/>
    <w:rsid w:val="00ED7E80"/>
    <w:rsid w:val="00EE0CEB"/>
    <w:rsid w:val="00EE0FD3"/>
    <w:rsid w:val="00EE2B40"/>
    <w:rsid w:val="00EE37F2"/>
    <w:rsid w:val="00EE5AF2"/>
    <w:rsid w:val="00EF3012"/>
    <w:rsid w:val="00EF4BF3"/>
    <w:rsid w:val="00EF5512"/>
    <w:rsid w:val="00EF59B1"/>
    <w:rsid w:val="00F00FFD"/>
    <w:rsid w:val="00F021A7"/>
    <w:rsid w:val="00F02985"/>
    <w:rsid w:val="00F03390"/>
    <w:rsid w:val="00F04C0F"/>
    <w:rsid w:val="00F07C36"/>
    <w:rsid w:val="00F14998"/>
    <w:rsid w:val="00F15725"/>
    <w:rsid w:val="00F16B0C"/>
    <w:rsid w:val="00F2046F"/>
    <w:rsid w:val="00F21BFB"/>
    <w:rsid w:val="00F230ED"/>
    <w:rsid w:val="00F23930"/>
    <w:rsid w:val="00F26968"/>
    <w:rsid w:val="00F27593"/>
    <w:rsid w:val="00F3133F"/>
    <w:rsid w:val="00F32053"/>
    <w:rsid w:val="00F33924"/>
    <w:rsid w:val="00F3401D"/>
    <w:rsid w:val="00F34CA8"/>
    <w:rsid w:val="00F3745F"/>
    <w:rsid w:val="00F43670"/>
    <w:rsid w:val="00F436CC"/>
    <w:rsid w:val="00F44064"/>
    <w:rsid w:val="00F44EC9"/>
    <w:rsid w:val="00F457FE"/>
    <w:rsid w:val="00F45919"/>
    <w:rsid w:val="00F45B14"/>
    <w:rsid w:val="00F51839"/>
    <w:rsid w:val="00F528F8"/>
    <w:rsid w:val="00F55FBF"/>
    <w:rsid w:val="00F5616A"/>
    <w:rsid w:val="00F601C4"/>
    <w:rsid w:val="00F624FD"/>
    <w:rsid w:val="00F62830"/>
    <w:rsid w:val="00F63267"/>
    <w:rsid w:val="00F64055"/>
    <w:rsid w:val="00F64E24"/>
    <w:rsid w:val="00F81552"/>
    <w:rsid w:val="00F830F4"/>
    <w:rsid w:val="00F84AD1"/>
    <w:rsid w:val="00F84F68"/>
    <w:rsid w:val="00F858EA"/>
    <w:rsid w:val="00F87598"/>
    <w:rsid w:val="00F9408E"/>
    <w:rsid w:val="00F941D4"/>
    <w:rsid w:val="00F956F0"/>
    <w:rsid w:val="00FA129F"/>
    <w:rsid w:val="00FA1DCF"/>
    <w:rsid w:val="00FA27FB"/>
    <w:rsid w:val="00FA2E81"/>
    <w:rsid w:val="00FA4908"/>
    <w:rsid w:val="00FB0AC1"/>
    <w:rsid w:val="00FB174F"/>
    <w:rsid w:val="00FB17DE"/>
    <w:rsid w:val="00FB6A1B"/>
    <w:rsid w:val="00FB7538"/>
    <w:rsid w:val="00FC24D5"/>
    <w:rsid w:val="00FC2DE0"/>
    <w:rsid w:val="00FC5113"/>
    <w:rsid w:val="00FC5445"/>
    <w:rsid w:val="00FC6F48"/>
    <w:rsid w:val="00FD0F77"/>
    <w:rsid w:val="00FD116D"/>
    <w:rsid w:val="00FD31AC"/>
    <w:rsid w:val="00FD61C5"/>
    <w:rsid w:val="00FD70B1"/>
    <w:rsid w:val="00FE1EC3"/>
    <w:rsid w:val="00FE2762"/>
    <w:rsid w:val="00FE2763"/>
    <w:rsid w:val="00FE29F7"/>
    <w:rsid w:val="00FE7586"/>
    <w:rsid w:val="00FF1337"/>
    <w:rsid w:val="00FF1A83"/>
    <w:rsid w:val="00FF2951"/>
    <w:rsid w:val="00FF29A1"/>
    <w:rsid w:val="00FF42F9"/>
    <w:rsid w:val="05A6122A"/>
    <w:rsid w:val="15DE94E6"/>
    <w:rsid w:val="163BA73B"/>
    <w:rsid w:val="16AB2514"/>
    <w:rsid w:val="18E01FC6"/>
    <w:rsid w:val="33F02B90"/>
    <w:rsid w:val="39ABC550"/>
    <w:rsid w:val="58304D51"/>
    <w:rsid w:val="77D8D457"/>
    <w:rsid w:val="7B24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4DDF5D72-C9B0-4C05-8791-546487CD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link w:val="BulletHymansChar"/>
    <w:uiPriority w:val="2"/>
    <w:qFormat/>
    <w:rsid w:val="005F4AA5"/>
    <w:pPr>
      <w:spacing w:before="20" w:after="140" w:line="280" w:lineRule="exact"/>
      <w:ind w:left="360" w:hanging="360"/>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 w:type="character" w:customStyle="1" w:styleId="normaltextrun">
    <w:name w:val="normaltextrun"/>
    <w:basedOn w:val="DefaultParagraphFont"/>
    <w:rsid w:val="00B32E41"/>
  </w:style>
  <w:style w:type="character" w:customStyle="1" w:styleId="eop">
    <w:name w:val="eop"/>
    <w:basedOn w:val="DefaultParagraphFont"/>
    <w:rsid w:val="00B32E41"/>
  </w:style>
  <w:style w:type="paragraph" w:customStyle="1" w:styleId="paragraph">
    <w:name w:val="paragraph"/>
    <w:basedOn w:val="Normal"/>
    <w:rsid w:val="007A24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HymansChar">
    <w:name w:val="Bullet Hymans Char"/>
    <w:basedOn w:val="DefaultParagraphFont"/>
    <w:link w:val="BulletHymans"/>
    <w:uiPriority w:val="2"/>
    <w:rsid w:val="00EC1339"/>
    <w:rPr>
      <w:rFonts w:ascii="Arial" w:eastAsia="Times New Roman" w:hAnsi="Arial" w:cs="Arial"/>
      <w:iCs/>
      <w:color w:val="455560"/>
      <w:sz w:val="20"/>
      <w:szCs w:val="20"/>
    </w:rPr>
  </w:style>
  <w:style w:type="character" w:styleId="Mention">
    <w:name w:val="Mention"/>
    <w:basedOn w:val="DefaultParagraphFont"/>
    <w:uiPriority w:val="99"/>
    <w:unhideWhenUsed/>
    <w:rsid w:val="0006091B"/>
    <w:rPr>
      <w:color w:val="2B579A"/>
      <w:shd w:val="clear" w:color="auto" w:fill="E1DFDD"/>
    </w:rPr>
  </w:style>
  <w:style w:type="paragraph" w:customStyle="1" w:styleId="Appendix3">
    <w:name w:val="Appendix 3"/>
    <w:basedOn w:val="Heading3"/>
    <w:next w:val="BodyTextGrey"/>
    <w:uiPriority w:val="3"/>
    <w:qFormat/>
    <w:rsid w:val="00D26A39"/>
    <w:pPr>
      <w:tabs>
        <w:tab w:val="clear" w:pos="4513"/>
        <w:tab w:val="clear" w:pos="9026"/>
      </w:tabs>
      <w:spacing w:before="20" w:after="200" w:line="280" w:lineRule="atLeast"/>
    </w:pPr>
    <w:rPr>
      <w:rFonts w:ascii="Arial" w:eastAsia="Times New Roman" w:hAnsi="Arial" w:cs="Arial"/>
      <w:iCs/>
      <w:color w:val="70AD47" w:themeColor="accent6"/>
      <w:sz w:val="20"/>
      <w:szCs w:val="20"/>
    </w:rPr>
  </w:style>
  <w:style w:type="paragraph" w:styleId="Title">
    <w:name w:val="Title"/>
    <w:basedOn w:val="Normal"/>
    <w:next w:val="Normal"/>
    <w:link w:val="TitleChar"/>
    <w:uiPriority w:val="10"/>
    <w:qFormat/>
    <w:rsid w:val="00C07F3A"/>
    <w:pPr>
      <w:spacing w:after="360"/>
      <w:jc w:val="center"/>
    </w:pPr>
    <w:rPr>
      <w:color w:val="61207F"/>
      <w:sz w:val="72"/>
      <w:szCs w:val="72"/>
    </w:rPr>
  </w:style>
  <w:style w:type="character" w:customStyle="1" w:styleId="TitleChar">
    <w:name w:val="Title Char"/>
    <w:basedOn w:val="DefaultParagraphFont"/>
    <w:link w:val="Title"/>
    <w:uiPriority w:val="10"/>
    <w:rsid w:val="00C07F3A"/>
    <w:rPr>
      <w:color w:val="61207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8674">
      <w:bodyDiv w:val="1"/>
      <w:marLeft w:val="0"/>
      <w:marRight w:val="0"/>
      <w:marTop w:val="0"/>
      <w:marBottom w:val="0"/>
      <w:divBdr>
        <w:top w:val="none" w:sz="0" w:space="0" w:color="auto"/>
        <w:left w:val="none" w:sz="0" w:space="0" w:color="auto"/>
        <w:bottom w:val="none" w:sz="0" w:space="0" w:color="auto"/>
        <w:right w:val="none" w:sz="0" w:space="0" w:color="auto"/>
      </w:divBdr>
    </w:div>
    <w:div w:id="401220319">
      <w:bodyDiv w:val="1"/>
      <w:marLeft w:val="0"/>
      <w:marRight w:val="0"/>
      <w:marTop w:val="0"/>
      <w:marBottom w:val="0"/>
      <w:divBdr>
        <w:top w:val="none" w:sz="0" w:space="0" w:color="auto"/>
        <w:left w:val="none" w:sz="0" w:space="0" w:color="auto"/>
        <w:bottom w:val="none" w:sz="0" w:space="0" w:color="auto"/>
        <w:right w:val="none" w:sz="0" w:space="0" w:color="auto"/>
      </w:divBdr>
      <w:divsChild>
        <w:div w:id="9573660">
          <w:marLeft w:val="0"/>
          <w:marRight w:val="0"/>
          <w:marTop w:val="0"/>
          <w:marBottom w:val="0"/>
          <w:divBdr>
            <w:top w:val="none" w:sz="0" w:space="0" w:color="auto"/>
            <w:left w:val="none" w:sz="0" w:space="0" w:color="auto"/>
            <w:bottom w:val="none" w:sz="0" w:space="0" w:color="auto"/>
            <w:right w:val="none" w:sz="0" w:space="0" w:color="auto"/>
          </w:divBdr>
        </w:div>
        <w:div w:id="504903202">
          <w:marLeft w:val="0"/>
          <w:marRight w:val="0"/>
          <w:marTop w:val="0"/>
          <w:marBottom w:val="0"/>
          <w:divBdr>
            <w:top w:val="none" w:sz="0" w:space="0" w:color="auto"/>
            <w:left w:val="none" w:sz="0" w:space="0" w:color="auto"/>
            <w:bottom w:val="none" w:sz="0" w:space="0" w:color="auto"/>
            <w:right w:val="none" w:sz="0" w:space="0" w:color="auto"/>
          </w:divBdr>
        </w:div>
        <w:div w:id="790512694">
          <w:marLeft w:val="0"/>
          <w:marRight w:val="0"/>
          <w:marTop w:val="0"/>
          <w:marBottom w:val="0"/>
          <w:divBdr>
            <w:top w:val="none" w:sz="0" w:space="0" w:color="auto"/>
            <w:left w:val="none" w:sz="0" w:space="0" w:color="auto"/>
            <w:bottom w:val="none" w:sz="0" w:space="0" w:color="auto"/>
            <w:right w:val="none" w:sz="0" w:space="0" w:color="auto"/>
          </w:divBdr>
        </w:div>
        <w:div w:id="1150898899">
          <w:marLeft w:val="0"/>
          <w:marRight w:val="0"/>
          <w:marTop w:val="0"/>
          <w:marBottom w:val="0"/>
          <w:divBdr>
            <w:top w:val="none" w:sz="0" w:space="0" w:color="auto"/>
            <w:left w:val="none" w:sz="0" w:space="0" w:color="auto"/>
            <w:bottom w:val="none" w:sz="0" w:space="0" w:color="auto"/>
            <w:right w:val="none" w:sz="0" w:space="0" w:color="auto"/>
          </w:divBdr>
        </w:div>
        <w:div w:id="1251504283">
          <w:marLeft w:val="0"/>
          <w:marRight w:val="0"/>
          <w:marTop w:val="0"/>
          <w:marBottom w:val="0"/>
          <w:divBdr>
            <w:top w:val="none" w:sz="0" w:space="0" w:color="auto"/>
            <w:left w:val="none" w:sz="0" w:space="0" w:color="auto"/>
            <w:bottom w:val="none" w:sz="0" w:space="0" w:color="auto"/>
            <w:right w:val="none" w:sz="0" w:space="0" w:color="auto"/>
          </w:divBdr>
        </w:div>
        <w:div w:id="1409234694">
          <w:marLeft w:val="0"/>
          <w:marRight w:val="0"/>
          <w:marTop w:val="0"/>
          <w:marBottom w:val="0"/>
          <w:divBdr>
            <w:top w:val="none" w:sz="0" w:space="0" w:color="auto"/>
            <w:left w:val="none" w:sz="0" w:space="0" w:color="auto"/>
            <w:bottom w:val="none" w:sz="0" w:space="0" w:color="auto"/>
            <w:right w:val="none" w:sz="0" w:space="0" w:color="auto"/>
          </w:divBdr>
        </w:div>
        <w:div w:id="1463887560">
          <w:marLeft w:val="0"/>
          <w:marRight w:val="0"/>
          <w:marTop w:val="0"/>
          <w:marBottom w:val="0"/>
          <w:divBdr>
            <w:top w:val="none" w:sz="0" w:space="0" w:color="auto"/>
            <w:left w:val="none" w:sz="0" w:space="0" w:color="auto"/>
            <w:bottom w:val="none" w:sz="0" w:space="0" w:color="auto"/>
            <w:right w:val="none" w:sz="0" w:space="0" w:color="auto"/>
          </w:divBdr>
        </w:div>
        <w:div w:id="1489398555">
          <w:marLeft w:val="0"/>
          <w:marRight w:val="0"/>
          <w:marTop w:val="0"/>
          <w:marBottom w:val="0"/>
          <w:divBdr>
            <w:top w:val="none" w:sz="0" w:space="0" w:color="auto"/>
            <w:left w:val="none" w:sz="0" w:space="0" w:color="auto"/>
            <w:bottom w:val="none" w:sz="0" w:space="0" w:color="auto"/>
            <w:right w:val="none" w:sz="0" w:space="0" w:color="auto"/>
          </w:divBdr>
        </w:div>
        <w:div w:id="1570771030">
          <w:marLeft w:val="0"/>
          <w:marRight w:val="0"/>
          <w:marTop w:val="0"/>
          <w:marBottom w:val="0"/>
          <w:divBdr>
            <w:top w:val="none" w:sz="0" w:space="0" w:color="auto"/>
            <w:left w:val="none" w:sz="0" w:space="0" w:color="auto"/>
            <w:bottom w:val="none" w:sz="0" w:space="0" w:color="auto"/>
            <w:right w:val="none" w:sz="0" w:space="0" w:color="auto"/>
          </w:divBdr>
        </w:div>
        <w:div w:id="1642463899">
          <w:marLeft w:val="0"/>
          <w:marRight w:val="0"/>
          <w:marTop w:val="0"/>
          <w:marBottom w:val="0"/>
          <w:divBdr>
            <w:top w:val="none" w:sz="0" w:space="0" w:color="auto"/>
            <w:left w:val="none" w:sz="0" w:space="0" w:color="auto"/>
            <w:bottom w:val="none" w:sz="0" w:space="0" w:color="auto"/>
            <w:right w:val="none" w:sz="0" w:space="0" w:color="auto"/>
          </w:divBdr>
        </w:div>
        <w:div w:id="1764915358">
          <w:marLeft w:val="0"/>
          <w:marRight w:val="0"/>
          <w:marTop w:val="0"/>
          <w:marBottom w:val="0"/>
          <w:divBdr>
            <w:top w:val="none" w:sz="0" w:space="0" w:color="auto"/>
            <w:left w:val="none" w:sz="0" w:space="0" w:color="auto"/>
            <w:bottom w:val="none" w:sz="0" w:space="0" w:color="auto"/>
            <w:right w:val="none" w:sz="0" w:space="0" w:color="auto"/>
          </w:divBdr>
        </w:div>
        <w:div w:id="1767850421">
          <w:marLeft w:val="0"/>
          <w:marRight w:val="0"/>
          <w:marTop w:val="0"/>
          <w:marBottom w:val="0"/>
          <w:divBdr>
            <w:top w:val="none" w:sz="0" w:space="0" w:color="auto"/>
            <w:left w:val="none" w:sz="0" w:space="0" w:color="auto"/>
            <w:bottom w:val="none" w:sz="0" w:space="0" w:color="auto"/>
            <w:right w:val="none" w:sz="0" w:space="0" w:color="auto"/>
          </w:divBdr>
        </w:div>
        <w:div w:id="1785880827">
          <w:marLeft w:val="0"/>
          <w:marRight w:val="0"/>
          <w:marTop w:val="0"/>
          <w:marBottom w:val="0"/>
          <w:divBdr>
            <w:top w:val="none" w:sz="0" w:space="0" w:color="auto"/>
            <w:left w:val="none" w:sz="0" w:space="0" w:color="auto"/>
            <w:bottom w:val="none" w:sz="0" w:space="0" w:color="auto"/>
            <w:right w:val="none" w:sz="0" w:space="0" w:color="auto"/>
          </w:divBdr>
        </w:div>
        <w:div w:id="1788310584">
          <w:marLeft w:val="0"/>
          <w:marRight w:val="0"/>
          <w:marTop w:val="0"/>
          <w:marBottom w:val="0"/>
          <w:divBdr>
            <w:top w:val="none" w:sz="0" w:space="0" w:color="auto"/>
            <w:left w:val="none" w:sz="0" w:space="0" w:color="auto"/>
            <w:bottom w:val="none" w:sz="0" w:space="0" w:color="auto"/>
            <w:right w:val="none" w:sz="0" w:space="0" w:color="auto"/>
          </w:divBdr>
        </w:div>
      </w:divsChild>
    </w:div>
    <w:div w:id="438718492">
      <w:bodyDiv w:val="1"/>
      <w:marLeft w:val="0"/>
      <w:marRight w:val="0"/>
      <w:marTop w:val="0"/>
      <w:marBottom w:val="0"/>
      <w:divBdr>
        <w:top w:val="none" w:sz="0" w:space="0" w:color="auto"/>
        <w:left w:val="none" w:sz="0" w:space="0" w:color="auto"/>
        <w:bottom w:val="none" w:sz="0" w:space="0" w:color="auto"/>
        <w:right w:val="none" w:sz="0" w:space="0" w:color="auto"/>
      </w:divBdr>
    </w:div>
    <w:div w:id="581253535">
      <w:bodyDiv w:val="1"/>
      <w:marLeft w:val="0"/>
      <w:marRight w:val="0"/>
      <w:marTop w:val="0"/>
      <w:marBottom w:val="0"/>
      <w:divBdr>
        <w:top w:val="none" w:sz="0" w:space="0" w:color="auto"/>
        <w:left w:val="none" w:sz="0" w:space="0" w:color="auto"/>
        <w:bottom w:val="none" w:sz="0" w:space="0" w:color="auto"/>
        <w:right w:val="none" w:sz="0" w:space="0" w:color="auto"/>
      </w:divBdr>
    </w:div>
    <w:div w:id="672875511">
      <w:bodyDiv w:val="1"/>
      <w:marLeft w:val="0"/>
      <w:marRight w:val="0"/>
      <w:marTop w:val="0"/>
      <w:marBottom w:val="0"/>
      <w:divBdr>
        <w:top w:val="none" w:sz="0" w:space="0" w:color="auto"/>
        <w:left w:val="none" w:sz="0" w:space="0" w:color="auto"/>
        <w:bottom w:val="none" w:sz="0" w:space="0" w:color="auto"/>
        <w:right w:val="none" w:sz="0" w:space="0" w:color="auto"/>
      </w:divBdr>
    </w:div>
    <w:div w:id="711196725">
      <w:bodyDiv w:val="1"/>
      <w:marLeft w:val="0"/>
      <w:marRight w:val="0"/>
      <w:marTop w:val="0"/>
      <w:marBottom w:val="0"/>
      <w:divBdr>
        <w:top w:val="none" w:sz="0" w:space="0" w:color="auto"/>
        <w:left w:val="none" w:sz="0" w:space="0" w:color="auto"/>
        <w:bottom w:val="none" w:sz="0" w:space="0" w:color="auto"/>
        <w:right w:val="none" w:sz="0" w:space="0" w:color="auto"/>
      </w:divBdr>
      <w:divsChild>
        <w:div w:id="251161192">
          <w:marLeft w:val="0"/>
          <w:marRight w:val="0"/>
          <w:marTop w:val="0"/>
          <w:marBottom w:val="0"/>
          <w:divBdr>
            <w:top w:val="none" w:sz="0" w:space="0" w:color="auto"/>
            <w:left w:val="none" w:sz="0" w:space="0" w:color="auto"/>
            <w:bottom w:val="none" w:sz="0" w:space="0" w:color="auto"/>
            <w:right w:val="none" w:sz="0" w:space="0" w:color="auto"/>
          </w:divBdr>
          <w:divsChild>
            <w:div w:id="793601695">
              <w:marLeft w:val="0"/>
              <w:marRight w:val="0"/>
              <w:marTop w:val="0"/>
              <w:marBottom w:val="0"/>
              <w:divBdr>
                <w:top w:val="none" w:sz="0" w:space="0" w:color="auto"/>
                <w:left w:val="none" w:sz="0" w:space="0" w:color="auto"/>
                <w:bottom w:val="none" w:sz="0" w:space="0" w:color="auto"/>
                <w:right w:val="none" w:sz="0" w:space="0" w:color="auto"/>
              </w:divBdr>
            </w:div>
          </w:divsChild>
        </w:div>
        <w:div w:id="321928447">
          <w:marLeft w:val="0"/>
          <w:marRight w:val="0"/>
          <w:marTop w:val="0"/>
          <w:marBottom w:val="0"/>
          <w:divBdr>
            <w:top w:val="none" w:sz="0" w:space="0" w:color="auto"/>
            <w:left w:val="none" w:sz="0" w:space="0" w:color="auto"/>
            <w:bottom w:val="none" w:sz="0" w:space="0" w:color="auto"/>
            <w:right w:val="none" w:sz="0" w:space="0" w:color="auto"/>
          </w:divBdr>
          <w:divsChild>
            <w:div w:id="1942254707">
              <w:marLeft w:val="0"/>
              <w:marRight w:val="0"/>
              <w:marTop w:val="0"/>
              <w:marBottom w:val="0"/>
              <w:divBdr>
                <w:top w:val="none" w:sz="0" w:space="0" w:color="auto"/>
                <w:left w:val="none" w:sz="0" w:space="0" w:color="auto"/>
                <w:bottom w:val="none" w:sz="0" w:space="0" w:color="auto"/>
                <w:right w:val="none" w:sz="0" w:space="0" w:color="auto"/>
              </w:divBdr>
            </w:div>
          </w:divsChild>
        </w:div>
        <w:div w:id="974485894">
          <w:marLeft w:val="0"/>
          <w:marRight w:val="0"/>
          <w:marTop w:val="0"/>
          <w:marBottom w:val="0"/>
          <w:divBdr>
            <w:top w:val="none" w:sz="0" w:space="0" w:color="auto"/>
            <w:left w:val="none" w:sz="0" w:space="0" w:color="auto"/>
            <w:bottom w:val="none" w:sz="0" w:space="0" w:color="auto"/>
            <w:right w:val="none" w:sz="0" w:space="0" w:color="auto"/>
          </w:divBdr>
          <w:divsChild>
            <w:div w:id="1500192168">
              <w:marLeft w:val="0"/>
              <w:marRight w:val="0"/>
              <w:marTop w:val="0"/>
              <w:marBottom w:val="0"/>
              <w:divBdr>
                <w:top w:val="none" w:sz="0" w:space="0" w:color="auto"/>
                <w:left w:val="none" w:sz="0" w:space="0" w:color="auto"/>
                <w:bottom w:val="none" w:sz="0" w:space="0" w:color="auto"/>
                <w:right w:val="none" w:sz="0" w:space="0" w:color="auto"/>
              </w:divBdr>
            </w:div>
          </w:divsChild>
        </w:div>
        <w:div w:id="2056273880">
          <w:marLeft w:val="0"/>
          <w:marRight w:val="0"/>
          <w:marTop w:val="0"/>
          <w:marBottom w:val="0"/>
          <w:divBdr>
            <w:top w:val="none" w:sz="0" w:space="0" w:color="auto"/>
            <w:left w:val="none" w:sz="0" w:space="0" w:color="auto"/>
            <w:bottom w:val="none" w:sz="0" w:space="0" w:color="auto"/>
            <w:right w:val="none" w:sz="0" w:space="0" w:color="auto"/>
          </w:divBdr>
          <w:divsChild>
            <w:div w:id="7416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9408">
      <w:bodyDiv w:val="1"/>
      <w:marLeft w:val="0"/>
      <w:marRight w:val="0"/>
      <w:marTop w:val="0"/>
      <w:marBottom w:val="0"/>
      <w:divBdr>
        <w:top w:val="none" w:sz="0" w:space="0" w:color="auto"/>
        <w:left w:val="none" w:sz="0" w:space="0" w:color="auto"/>
        <w:bottom w:val="none" w:sz="0" w:space="0" w:color="auto"/>
        <w:right w:val="none" w:sz="0" w:space="0" w:color="auto"/>
      </w:divBdr>
      <w:divsChild>
        <w:div w:id="133646049">
          <w:marLeft w:val="0"/>
          <w:marRight w:val="0"/>
          <w:marTop w:val="0"/>
          <w:marBottom w:val="0"/>
          <w:divBdr>
            <w:top w:val="none" w:sz="0" w:space="0" w:color="auto"/>
            <w:left w:val="none" w:sz="0" w:space="0" w:color="auto"/>
            <w:bottom w:val="none" w:sz="0" w:space="0" w:color="auto"/>
            <w:right w:val="none" w:sz="0" w:space="0" w:color="auto"/>
          </w:divBdr>
        </w:div>
        <w:div w:id="1062950355">
          <w:marLeft w:val="0"/>
          <w:marRight w:val="0"/>
          <w:marTop w:val="0"/>
          <w:marBottom w:val="0"/>
          <w:divBdr>
            <w:top w:val="none" w:sz="0" w:space="0" w:color="auto"/>
            <w:left w:val="none" w:sz="0" w:space="0" w:color="auto"/>
            <w:bottom w:val="none" w:sz="0" w:space="0" w:color="auto"/>
            <w:right w:val="none" w:sz="0" w:space="0" w:color="auto"/>
          </w:divBdr>
        </w:div>
        <w:div w:id="1427536990">
          <w:marLeft w:val="0"/>
          <w:marRight w:val="0"/>
          <w:marTop w:val="0"/>
          <w:marBottom w:val="0"/>
          <w:divBdr>
            <w:top w:val="none" w:sz="0" w:space="0" w:color="auto"/>
            <w:left w:val="none" w:sz="0" w:space="0" w:color="auto"/>
            <w:bottom w:val="none" w:sz="0" w:space="0" w:color="auto"/>
            <w:right w:val="none" w:sz="0" w:space="0" w:color="auto"/>
          </w:divBdr>
        </w:div>
        <w:div w:id="1901213720">
          <w:marLeft w:val="0"/>
          <w:marRight w:val="0"/>
          <w:marTop w:val="0"/>
          <w:marBottom w:val="0"/>
          <w:divBdr>
            <w:top w:val="none" w:sz="0" w:space="0" w:color="auto"/>
            <w:left w:val="none" w:sz="0" w:space="0" w:color="auto"/>
            <w:bottom w:val="none" w:sz="0" w:space="0" w:color="auto"/>
            <w:right w:val="none" w:sz="0" w:space="0" w:color="auto"/>
          </w:divBdr>
        </w:div>
        <w:div w:id="1949849733">
          <w:marLeft w:val="0"/>
          <w:marRight w:val="0"/>
          <w:marTop w:val="0"/>
          <w:marBottom w:val="0"/>
          <w:divBdr>
            <w:top w:val="none" w:sz="0" w:space="0" w:color="auto"/>
            <w:left w:val="none" w:sz="0" w:space="0" w:color="auto"/>
            <w:bottom w:val="none" w:sz="0" w:space="0" w:color="auto"/>
            <w:right w:val="none" w:sz="0" w:space="0" w:color="auto"/>
          </w:divBdr>
        </w:div>
      </w:divsChild>
    </w:div>
    <w:div w:id="837385627">
      <w:bodyDiv w:val="1"/>
      <w:marLeft w:val="0"/>
      <w:marRight w:val="0"/>
      <w:marTop w:val="0"/>
      <w:marBottom w:val="0"/>
      <w:divBdr>
        <w:top w:val="none" w:sz="0" w:space="0" w:color="auto"/>
        <w:left w:val="none" w:sz="0" w:space="0" w:color="auto"/>
        <w:bottom w:val="none" w:sz="0" w:space="0" w:color="auto"/>
        <w:right w:val="none" w:sz="0" w:space="0" w:color="auto"/>
      </w:divBdr>
    </w:div>
    <w:div w:id="893858302">
      <w:bodyDiv w:val="1"/>
      <w:marLeft w:val="0"/>
      <w:marRight w:val="0"/>
      <w:marTop w:val="0"/>
      <w:marBottom w:val="0"/>
      <w:divBdr>
        <w:top w:val="none" w:sz="0" w:space="0" w:color="auto"/>
        <w:left w:val="none" w:sz="0" w:space="0" w:color="auto"/>
        <w:bottom w:val="none" w:sz="0" w:space="0" w:color="auto"/>
        <w:right w:val="none" w:sz="0" w:space="0" w:color="auto"/>
      </w:divBdr>
    </w:div>
    <w:div w:id="1433281646">
      <w:bodyDiv w:val="1"/>
      <w:marLeft w:val="0"/>
      <w:marRight w:val="0"/>
      <w:marTop w:val="0"/>
      <w:marBottom w:val="0"/>
      <w:divBdr>
        <w:top w:val="none" w:sz="0" w:space="0" w:color="auto"/>
        <w:left w:val="none" w:sz="0" w:space="0" w:color="auto"/>
        <w:bottom w:val="none" w:sz="0" w:space="0" w:color="auto"/>
        <w:right w:val="none" w:sz="0" w:space="0" w:color="auto"/>
      </w:divBdr>
    </w:div>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41211040">
      <w:bodyDiv w:val="1"/>
      <w:marLeft w:val="0"/>
      <w:marRight w:val="0"/>
      <w:marTop w:val="0"/>
      <w:marBottom w:val="0"/>
      <w:divBdr>
        <w:top w:val="none" w:sz="0" w:space="0" w:color="auto"/>
        <w:left w:val="none" w:sz="0" w:space="0" w:color="auto"/>
        <w:bottom w:val="none" w:sz="0" w:space="0" w:color="auto"/>
        <w:right w:val="none" w:sz="0" w:space="0" w:color="auto"/>
      </w:divBdr>
    </w:div>
    <w:div w:id="1550651564">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 w:id="1597444221">
      <w:bodyDiv w:val="1"/>
      <w:marLeft w:val="0"/>
      <w:marRight w:val="0"/>
      <w:marTop w:val="0"/>
      <w:marBottom w:val="0"/>
      <w:divBdr>
        <w:top w:val="none" w:sz="0" w:space="0" w:color="auto"/>
        <w:left w:val="none" w:sz="0" w:space="0" w:color="auto"/>
        <w:bottom w:val="none" w:sz="0" w:space="0" w:color="auto"/>
        <w:right w:val="none" w:sz="0" w:space="0" w:color="auto"/>
      </w:divBdr>
      <w:divsChild>
        <w:div w:id="778373860">
          <w:marLeft w:val="0"/>
          <w:marRight w:val="0"/>
          <w:marTop w:val="0"/>
          <w:marBottom w:val="0"/>
          <w:divBdr>
            <w:top w:val="none" w:sz="0" w:space="0" w:color="auto"/>
            <w:left w:val="none" w:sz="0" w:space="0" w:color="auto"/>
            <w:bottom w:val="none" w:sz="0" w:space="0" w:color="auto"/>
            <w:right w:val="none" w:sz="0" w:space="0" w:color="auto"/>
          </w:divBdr>
          <w:divsChild>
            <w:div w:id="1532575633">
              <w:marLeft w:val="0"/>
              <w:marRight w:val="0"/>
              <w:marTop w:val="0"/>
              <w:marBottom w:val="0"/>
              <w:divBdr>
                <w:top w:val="none" w:sz="0" w:space="0" w:color="auto"/>
                <w:left w:val="none" w:sz="0" w:space="0" w:color="auto"/>
                <w:bottom w:val="none" w:sz="0" w:space="0" w:color="auto"/>
                <w:right w:val="none" w:sz="0" w:space="0" w:color="auto"/>
              </w:divBdr>
            </w:div>
          </w:divsChild>
        </w:div>
        <w:div w:id="799297861">
          <w:marLeft w:val="0"/>
          <w:marRight w:val="0"/>
          <w:marTop w:val="0"/>
          <w:marBottom w:val="0"/>
          <w:divBdr>
            <w:top w:val="none" w:sz="0" w:space="0" w:color="auto"/>
            <w:left w:val="none" w:sz="0" w:space="0" w:color="auto"/>
            <w:bottom w:val="none" w:sz="0" w:space="0" w:color="auto"/>
            <w:right w:val="none" w:sz="0" w:space="0" w:color="auto"/>
          </w:divBdr>
          <w:divsChild>
            <w:div w:id="907610664">
              <w:marLeft w:val="0"/>
              <w:marRight w:val="0"/>
              <w:marTop w:val="0"/>
              <w:marBottom w:val="0"/>
              <w:divBdr>
                <w:top w:val="none" w:sz="0" w:space="0" w:color="auto"/>
                <w:left w:val="none" w:sz="0" w:space="0" w:color="auto"/>
                <w:bottom w:val="none" w:sz="0" w:space="0" w:color="auto"/>
                <w:right w:val="none" w:sz="0" w:space="0" w:color="auto"/>
              </w:divBdr>
            </w:div>
          </w:divsChild>
        </w:div>
        <w:div w:id="1227764383">
          <w:marLeft w:val="0"/>
          <w:marRight w:val="0"/>
          <w:marTop w:val="0"/>
          <w:marBottom w:val="0"/>
          <w:divBdr>
            <w:top w:val="none" w:sz="0" w:space="0" w:color="auto"/>
            <w:left w:val="none" w:sz="0" w:space="0" w:color="auto"/>
            <w:bottom w:val="none" w:sz="0" w:space="0" w:color="auto"/>
            <w:right w:val="none" w:sz="0" w:space="0" w:color="auto"/>
          </w:divBdr>
          <w:divsChild>
            <w:div w:id="1713118262">
              <w:marLeft w:val="0"/>
              <w:marRight w:val="0"/>
              <w:marTop w:val="0"/>
              <w:marBottom w:val="0"/>
              <w:divBdr>
                <w:top w:val="none" w:sz="0" w:space="0" w:color="auto"/>
                <w:left w:val="none" w:sz="0" w:space="0" w:color="auto"/>
                <w:bottom w:val="none" w:sz="0" w:space="0" w:color="auto"/>
                <w:right w:val="none" w:sz="0" w:space="0" w:color="auto"/>
              </w:divBdr>
            </w:div>
          </w:divsChild>
        </w:div>
        <w:div w:id="1581721385">
          <w:marLeft w:val="0"/>
          <w:marRight w:val="0"/>
          <w:marTop w:val="0"/>
          <w:marBottom w:val="0"/>
          <w:divBdr>
            <w:top w:val="none" w:sz="0" w:space="0" w:color="auto"/>
            <w:left w:val="none" w:sz="0" w:space="0" w:color="auto"/>
            <w:bottom w:val="none" w:sz="0" w:space="0" w:color="auto"/>
            <w:right w:val="none" w:sz="0" w:space="0" w:color="auto"/>
          </w:divBdr>
          <w:divsChild>
            <w:div w:id="3357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7790">
      <w:bodyDiv w:val="1"/>
      <w:marLeft w:val="0"/>
      <w:marRight w:val="0"/>
      <w:marTop w:val="0"/>
      <w:marBottom w:val="0"/>
      <w:divBdr>
        <w:top w:val="none" w:sz="0" w:space="0" w:color="auto"/>
        <w:left w:val="none" w:sz="0" w:space="0" w:color="auto"/>
        <w:bottom w:val="none" w:sz="0" w:space="0" w:color="auto"/>
        <w:right w:val="none" w:sz="0" w:space="0" w:color="auto"/>
      </w:divBdr>
    </w:div>
    <w:div w:id="1850174872">
      <w:bodyDiv w:val="1"/>
      <w:marLeft w:val="0"/>
      <w:marRight w:val="0"/>
      <w:marTop w:val="0"/>
      <w:marBottom w:val="0"/>
      <w:divBdr>
        <w:top w:val="none" w:sz="0" w:space="0" w:color="auto"/>
        <w:left w:val="none" w:sz="0" w:space="0" w:color="auto"/>
        <w:bottom w:val="none" w:sz="0" w:space="0" w:color="auto"/>
        <w:right w:val="none" w:sz="0" w:space="0" w:color="auto"/>
      </w:divBdr>
      <w:divsChild>
        <w:div w:id="313342671">
          <w:marLeft w:val="0"/>
          <w:marRight w:val="0"/>
          <w:marTop w:val="0"/>
          <w:marBottom w:val="0"/>
          <w:divBdr>
            <w:top w:val="none" w:sz="0" w:space="0" w:color="auto"/>
            <w:left w:val="none" w:sz="0" w:space="0" w:color="auto"/>
            <w:bottom w:val="none" w:sz="0" w:space="0" w:color="auto"/>
            <w:right w:val="none" w:sz="0" w:space="0" w:color="auto"/>
          </w:divBdr>
          <w:divsChild>
            <w:div w:id="1308976569">
              <w:marLeft w:val="0"/>
              <w:marRight w:val="0"/>
              <w:marTop w:val="0"/>
              <w:marBottom w:val="0"/>
              <w:divBdr>
                <w:top w:val="none" w:sz="0" w:space="0" w:color="auto"/>
                <w:left w:val="none" w:sz="0" w:space="0" w:color="auto"/>
                <w:bottom w:val="none" w:sz="0" w:space="0" w:color="auto"/>
                <w:right w:val="none" w:sz="0" w:space="0" w:color="auto"/>
              </w:divBdr>
            </w:div>
          </w:divsChild>
        </w:div>
        <w:div w:id="483931373">
          <w:marLeft w:val="0"/>
          <w:marRight w:val="0"/>
          <w:marTop w:val="0"/>
          <w:marBottom w:val="0"/>
          <w:divBdr>
            <w:top w:val="none" w:sz="0" w:space="0" w:color="auto"/>
            <w:left w:val="none" w:sz="0" w:space="0" w:color="auto"/>
            <w:bottom w:val="none" w:sz="0" w:space="0" w:color="auto"/>
            <w:right w:val="none" w:sz="0" w:space="0" w:color="auto"/>
          </w:divBdr>
          <w:divsChild>
            <w:div w:id="1689912364">
              <w:marLeft w:val="0"/>
              <w:marRight w:val="0"/>
              <w:marTop w:val="0"/>
              <w:marBottom w:val="0"/>
              <w:divBdr>
                <w:top w:val="none" w:sz="0" w:space="0" w:color="auto"/>
                <w:left w:val="none" w:sz="0" w:space="0" w:color="auto"/>
                <w:bottom w:val="none" w:sz="0" w:space="0" w:color="auto"/>
                <w:right w:val="none" w:sz="0" w:space="0" w:color="auto"/>
              </w:divBdr>
            </w:div>
          </w:divsChild>
        </w:div>
        <w:div w:id="1016230101">
          <w:marLeft w:val="0"/>
          <w:marRight w:val="0"/>
          <w:marTop w:val="0"/>
          <w:marBottom w:val="0"/>
          <w:divBdr>
            <w:top w:val="none" w:sz="0" w:space="0" w:color="auto"/>
            <w:left w:val="none" w:sz="0" w:space="0" w:color="auto"/>
            <w:bottom w:val="none" w:sz="0" w:space="0" w:color="auto"/>
            <w:right w:val="none" w:sz="0" w:space="0" w:color="auto"/>
          </w:divBdr>
          <w:divsChild>
            <w:div w:id="768964745">
              <w:marLeft w:val="0"/>
              <w:marRight w:val="0"/>
              <w:marTop w:val="0"/>
              <w:marBottom w:val="0"/>
              <w:divBdr>
                <w:top w:val="none" w:sz="0" w:space="0" w:color="auto"/>
                <w:left w:val="none" w:sz="0" w:space="0" w:color="auto"/>
                <w:bottom w:val="none" w:sz="0" w:space="0" w:color="auto"/>
                <w:right w:val="none" w:sz="0" w:space="0" w:color="auto"/>
              </w:divBdr>
            </w:div>
          </w:divsChild>
        </w:div>
        <w:div w:id="1356736022">
          <w:marLeft w:val="0"/>
          <w:marRight w:val="0"/>
          <w:marTop w:val="0"/>
          <w:marBottom w:val="0"/>
          <w:divBdr>
            <w:top w:val="none" w:sz="0" w:space="0" w:color="auto"/>
            <w:left w:val="none" w:sz="0" w:space="0" w:color="auto"/>
            <w:bottom w:val="none" w:sz="0" w:space="0" w:color="auto"/>
            <w:right w:val="none" w:sz="0" w:space="0" w:color="auto"/>
          </w:divBdr>
          <w:divsChild>
            <w:div w:id="909509607">
              <w:marLeft w:val="0"/>
              <w:marRight w:val="0"/>
              <w:marTop w:val="0"/>
              <w:marBottom w:val="0"/>
              <w:divBdr>
                <w:top w:val="none" w:sz="0" w:space="0" w:color="auto"/>
                <w:left w:val="none" w:sz="0" w:space="0" w:color="auto"/>
                <w:bottom w:val="none" w:sz="0" w:space="0" w:color="auto"/>
                <w:right w:val="none" w:sz="0" w:space="0" w:color="auto"/>
              </w:divBdr>
            </w:div>
          </w:divsChild>
        </w:div>
        <w:div w:id="1360469284">
          <w:marLeft w:val="0"/>
          <w:marRight w:val="0"/>
          <w:marTop w:val="0"/>
          <w:marBottom w:val="0"/>
          <w:divBdr>
            <w:top w:val="none" w:sz="0" w:space="0" w:color="auto"/>
            <w:left w:val="none" w:sz="0" w:space="0" w:color="auto"/>
            <w:bottom w:val="none" w:sz="0" w:space="0" w:color="auto"/>
            <w:right w:val="none" w:sz="0" w:space="0" w:color="auto"/>
          </w:divBdr>
          <w:divsChild>
            <w:div w:id="808859250">
              <w:marLeft w:val="0"/>
              <w:marRight w:val="0"/>
              <w:marTop w:val="0"/>
              <w:marBottom w:val="0"/>
              <w:divBdr>
                <w:top w:val="none" w:sz="0" w:space="0" w:color="auto"/>
                <w:left w:val="none" w:sz="0" w:space="0" w:color="auto"/>
                <w:bottom w:val="none" w:sz="0" w:space="0" w:color="auto"/>
                <w:right w:val="none" w:sz="0" w:space="0" w:color="auto"/>
              </w:divBdr>
            </w:div>
          </w:divsChild>
        </w:div>
        <w:div w:id="1374767625">
          <w:marLeft w:val="0"/>
          <w:marRight w:val="0"/>
          <w:marTop w:val="0"/>
          <w:marBottom w:val="0"/>
          <w:divBdr>
            <w:top w:val="none" w:sz="0" w:space="0" w:color="auto"/>
            <w:left w:val="none" w:sz="0" w:space="0" w:color="auto"/>
            <w:bottom w:val="none" w:sz="0" w:space="0" w:color="auto"/>
            <w:right w:val="none" w:sz="0" w:space="0" w:color="auto"/>
          </w:divBdr>
          <w:divsChild>
            <w:div w:id="554435786">
              <w:marLeft w:val="0"/>
              <w:marRight w:val="0"/>
              <w:marTop w:val="0"/>
              <w:marBottom w:val="0"/>
              <w:divBdr>
                <w:top w:val="none" w:sz="0" w:space="0" w:color="auto"/>
                <w:left w:val="none" w:sz="0" w:space="0" w:color="auto"/>
                <w:bottom w:val="none" w:sz="0" w:space="0" w:color="auto"/>
                <w:right w:val="none" w:sz="0" w:space="0" w:color="auto"/>
              </w:divBdr>
            </w:div>
          </w:divsChild>
        </w:div>
        <w:div w:id="1550146548">
          <w:marLeft w:val="0"/>
          <w:marRight w:val="0"/>
          <w:marTop w:val="0"/>
          <w:marBottom w:val="0"/>
          <w:divBdr>
            <w:top w:val="none" w:sz="0" w:space="0" w:color="auto"/>
            <w:left w:val="none" w:sz="0" w:space="0" w:color="auto"/>
            <w:bottom w:val="none" w:sz="0" w:space="0" w:color="auto"/>
            <w:right w:val="none" w:sz="0" w:space="0" w:color="auto"/>
          </w:divBdr>
          <w:divsChild>
            <w:div w:id="1500777235">
              <w:marLeft w:val="0"/>
              <w:marRight w:val="0"/>
              <w:marTop w:val="0"/>
              <w:marBottom w:val="0"/>
              <w:divBdr>
                <w:top w:val="none" w:sz="0" w:space="0" w:color="auto"/>
                <w:left w:val="none" w:sz="0" w:space="0" w:color="auto"/>
                <w:bottom w:val="none" w:sz="0" w:space="0" w:color="auto"/>
                <w:right w:val="none" w:sz="0" w:space="0" w:color="auto"/>
              </w:divBdr>
            </w:div>
          </w:divsChild>
        </w:div>
        <w:div w:id="1612206670">
          <w:marLeft w:val="0"/>
          <w:marRight w:val="0"/>
          <w:marTop w:val="0"/>
          <w:marBottom w:val="0"/>
          <w:divBdr>
            <w:top w:val="none" w:sz="0" w:space="0" w:color="auto"/>
            <w:left w:val="none" w:sz="0" w:space="0" w:color="auto"/>
            <w:bottom w:val="none" w:sz="0" w:space="0" w:color="auto"/>
            <w:right w:val="none" w:sz="0" w:space="0" w:color="auto"/>
          </w:divBdr>
          <w:divsChild>
            <w:div w:id="1934623326">
              <w:marLeft w:val="0"/>
              <w:marRight w:val="0"/>
              <w:marTop w:val="0"/>
              <w:marBottom w:val="0"/>
              <w:divBdr>
                <w:top w:val="none" w:sz="0" w:space="0" w:color="auto"/>
                <w:left w:val="none" w:sz="0" w:space="0" w:color="auto"/>
                <w:bottom w:val="none" w:sz="0" w:space="0" w:color="auto"/>
                <w:right w:val="none" w:sz="0" w:space="0" w:color="auto"/>
              </w:divBdr>
            </w:div>
          </w:divsChild>
        </w:div>
        <w:div w:id="1767460181">
          <w:marLeft w:val="0"/>
          <w:marRight w:val="0"/>
          <w:marTop w:val="0"/>
          <w:marBottom w:val="0"/>
          <w:divBdr>
            <w:top w:val="none" w:sz="0" w:space="0" w:color="auto"/>
            <w:left w:val="none" w:sz="0" w:space="0" w:color="auto"/>
            <w:bottom w:val="none" w:sz="0" w:space="0" w:color="auto"/>
            <w:right w:val="none" w:sz="0" w:space="0" w:color="auto"/>
          </w:divBdr>
          <w:divsChild>
            <w:div w:id="13375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151">
      <w:bodyDiv w:val="1"/>
      <w:marLeft w:val="0"/>
      <w:marRight w:val="0"/>
      <w:marTop w:val="0"/>
      <w:marBottom w:val="0"/>
      <w:divBdr>
        <w:top w:val="none" w:sz="0" w:space="0" w:color="auto"/>
        <w:left w:val="none" w:sz="0" w:space="0" w:color="auto"/>
        <w:bottom w:val="none" w:sz="0" w:space="0" w:color="auto"/>
        <w:right w:val="none" w:sz="0" w:space="0" w:color="auto"/>
      </w:divBdr>
    </w:div>
    <w:div w:id="2016565694">
      <w:bodyDiv w:val="1"/>
      <w:marLeft w:val="0"/>
      <w:marRight w:val="0"/>
      <w:marTop w:val="0"/>
      <w:marBottom w:val="0"/>
      <w:divBdr>
        <w:top w:val="none" w:sz="0" w:space="0" w:color="auto"/>
        <w:left w:val="none" w:sz="0" w:space="0" w:color="auto"/>
        <w:bottom w:val="none" w:sz="0" w:space="0" w:color="auto"/>
        <w:right w:val="none" w:sz="0" w:space="0" w:color="auto"/>
      </w:divBdr>
    </w:div>
    <w:div w:id="2073114062">
      <w:bodyDiv w:val="1"/>
      <w:marLeft w:val="0"/>
      <w:marRight w:val="0"/>
      <w:marTop w:val="0"/>
      <w:marBottom w:val="0"/>
      <w:divBdr>
        <w:top w:val="none" w:sz="0" w:space="0" w:color="auto"/>
        <w:left w:val="none" w:sz="0" w:space="0" w:color="auto"/>
        <w:bottom w:val="none" w:sz="0" w:space="0" w:color="auto"/>
        <w:right w:val="none" w:sz="0" w:space="0" w:color="auto"/>
      </w:divBdr>
      <w:divsChild>
        <w:div w:id="1322923467">
          <w:marLeft w:val="0"/>
          <w:marRight w:val="0"/>
          <w:marTop w:val="0"/>
          <w:marBottom w:val="0"/>
          <w:divBdr>
            <w:top w:val="none" w:sz="0" w:space="0" w:color="auto"/>
            <w:left w:val="none" w:sz="0" w:space="0" w:color="auto"/>
            <w:bottom w:val="none" w:sz="0" w:space="0" w:color="auto"/>
            <w:right w:val="none" w:sz="0" w:space="0" w:color="auto"/>
          </w:divBdr>
        </w:div>
        <w:div w:id="1517649388">
          <w:marLeft w:val="0"/>
          <w:marRight w:val="0"/>
          <w:marTop w:val="0"/>
          <w:marBottom w:val="0"/>
          <w:divBdr>
            <w:top w:val="none" w:sz="0" w:space="0" w:color="auto"/>
            <w:left w:val="none" w:sz="0" w:space="0" w:color="auto"/>
            <w:bottom w:val="none" w:sz="0" w:space="0" w:color="auto"/>
            <w:right w:val="none" w:sz="0" w:space="0" w:color="auto"/>
          </w:divBdr>
        </w:div>
        <w:div w:id="1590194675">
          <w:marLeft w:val="0"/>
          <w:marRight w:val="0"/>
          <w:marTop w:val="0"/>
          <w:marBottom w:val="0"/>
          <w:divBdr>
            <w:top w:val="none" w:sz="0" w:space="0" w:color="auto"/>
            <w:left w:val="none" w:sz="0" w:space="0" w:color="auto"/>
            <w:bottom w:val="none" w:sz="0" w:space="0" w:color="auto"/>
            <w:right w:val="none" w:sz="0" w:space="0" w:color="auto"/>
          </w:divBdr>
        </w:div>
        <w:div w:id="19505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ensions.northamptonshire.gov.uk/information/about-us/key-documents-northamptonshire/" TargetMode="External"/><Relationship Id="rId26" Type="http://schemas.openxmlformats.org/officeDocument/2006/relationships/hyperlink" Target="https://pensions.northamptonshire.gov.uk/information/about-us/key-documents-northamptonshire/" TargetMode="External"/><Relationship Id="rId3" Type="http://schemas.openxmlformats.org/officeDocument/2006/relationships/customXml" Target="../customXml/item3.xml"/><Relationship Id="rId21" Type="http://schemas.openxmlformats.org/officeDocument/2006/relationships/hyperlink" Target="https://pensions.cambridgeshire.gov.uk/information/about-us/key-documents-northamptonshire/annual-repor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gpsregs.org/schemeregs/lgpsregs2013/timeline.php" TargetMode="External"/><Relationship Id="rId25" Type="http://schemas.openxmlformats.org/officeDocument/2006/relationships/hyperlink" Target="https://pensions.northamptonshire.gov.uk/information/about-us/key-documents-northamptonshi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nsions.northamptonshire.gov.uk/information/about-us/key-documents-northamptonshire/" TargetMode="External"/><Relationship Id="rId20" Type="http://schemas.openxmlformats.org/officeDocument/2006/relationships/hyperlink" Target="https://pensions.northamptonshire.gov.uk/information/about-us/key-documents-northamptonshire/" TargetMode="External"/><Relationship Id="rId29" Type="http://schemas.openxmlformats.org/officeDocument/2006/relationships/hyperlink" Target="https://pensions.northamptonshire.gov.uk/information/about-us/key-documents-northampton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northamptonshire.gov.uk/information/about-us/key-documents-northamptonshir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MOakensen/AppData/Local/Microsoft/Windows/INetCache/Content.Outlook/HUQGUYSM/www.lgpsmember.org" TargetMode="External"/><Relationship Id="rId23" Type="http://schemas.openxmlformats.org/officeDocument/2006/relationships/hyperlink" Target="https://pensions.northamptonshire.gov.uk/information/about-us/key-documents-northamptonshire/" TargetMode="External"/><Relationship Id="rId28" Type="http://schemas.openxmlformats.org/officeDocument/2006/relationships/hyperlink" Target="https://pensions.northamptonshire.gov.uk/information/about-us/key-documents-northamptonshire/" TargetMode="External"/><Relationship Id="rId10" Type="http://schemas.openxmlformats.org/officeDocument/2006/relationships/endnotes" Target="endnotes.xml"/><Relationship Id="rId19" Type="http://schemas.openxmlformats.org/officeDocument/2006/relationships/hyperlink" Target="https://pensions.northamptonshire.gov.uk/information/about-us/key-documents-northamptonshire/" TargetMode="External"/><Relationship Id="rId31" Type="http://schemas.openxmlformats.org/officeDocument/2006/relationships/hyperlink" Target="https://pensions.northamptonshire.gov.uk/information/about-us/key-documents-northampton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northamptonshire.gov.uk/information/about-us/key-documents-northamptonshire/" TargetMode="External"/><Relationship Id="rId27" Type="http://schemas.openxmlformats.org/officeDocument/2006/relationships/hyperlink" Target="https://pensions.westnorthants.gov.uk/information/about-us/key-documents-northamptonshire/"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2.xml><?xml version="1.0" encoding="utf-8"?>
<ds:datastoreItem xmlns:ds="http://schemas.openxmlformats.org/officeDocument/2006/customXml" ds:itemID="{C62AFF57-3876-4588-B2D7-040A2A489F2D}">
  <ds:schemaRefs>
    <ds:schemaRef ds:uri="http://schemas.microsoft.com/office/2006/metadata/properties"/>
    <ds:schemaRef ds:uri="http://schemas.microsoft.com/office/infopath/2007/PartnerControls"/>
    <ds:schemaRef ds:uri="fb421853-688c-4895-9bf8-6bc14ea16dd3"/>
    <ds:schemaRef ds:uri="75f017ce-8fe9-4f14-bafe-74422bb7015b"/>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51BCF124-C384-46F0-9F65-46CC4B65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12525</Words>
  <Characters>71395</Characters>
  <Application>Microsoft Office Word</Application>
  <DocSecurity>4</DocSecurity>
  <Lines>594</Lines>
  <Paragraphs>167</Paragraphs>
  <ScaleCrop>false</ScaleCrop>
  <Company>Northamptonshire County Council</Company>
  <LinksUpToDate>false</LinksUpToDate>
  <CharactersWithSpaces>83753</CharactersWithSpaces>
  <SharedDoc>false</SharedDoc>
  <HLinks>
    <vt:vector size="618" baseType="variant">
      <vt:variant>
        <vt:i4>4784203</vt:i4>
      </vt:variant>
      <vt:variant>
        <vt:i4>552</vt:i4>
      </vt:variant>
      <vt:variant>
        <vt:i4>0</vt:i4>
      </vt:variant>
      <vt:variant>
        <vt:i4>5</vt:i4>
      </vt:variant>
      <vt:variant>
        <vt:lpwstr>https://pensions.northamptonshire.gov.uk/information/about-us/key-documents-northamptonshire/</vt:lpwstr>
      </vt:variant>
      <vt:variant>
        <vt:lpwstr/>
      </vt:variant>
      <vt:variant>
        <vt:i4>4784203</vt:i4>
      </vt:variant>
      <vt:variant>
        <vt:i4>549</vt:i4>
      </vt:variant>
      <vt:variant>
        <vt:i4>0</vt:i4>
      </vt:variant>
      <vt:variant>
        <vt:i4>5</vt:i4>
      </vt:variant>
      <vt:variant>
        <vt:lpwstr>https://pensions.northamptonshire.gov.uk/information/about-us/key-documents-northamptonshire/</vt:lpwstr>
      </vt:variant>
      <vt:variant>
        <vt:lpwstr/>
      </vt:variant>
      <vt:variant>
        <vt:i4>4784203</vt:i4>
      </vt:variant>
      <vt:variant>
        <vt:i4>546</vt:i4>
      </vt:variant>
      <vt:variant>
        <vt:i4>0</vt:i4>
      </vt:variant>
      <vt:variant>
        <vt:i4>5</vt:i4>
      </vt:variant>
      <vt:variant>
        <vt:lpwstr>https://pensions.northamptonshire.gov.uk/information/about-us/key-documents-northamptonshire/</vt:lpwstr>
      </vt:variant>
      <vt:variant>
        <vt:lpwstr/>
      </vt:variant>
      <vt:variant>
        <vt:i4>8323107</vt:i4>
      </vt:variant>
      <vt:variant>
        <vt:i4>543</vt:i4>
      </vt:variant>
      <vt:variant>
        <vt:i4>0</vt:i4>
      </vt:variant>
      <vt:variant>
        <vt:i4>5</vt:i4>
      </vt:variant>
      <vt:variant>
        <vt:lpwstr>https://pensions.westnorthants.gov.uk/information/about-us/key-documents-northamptonshire/</vt:lpwstr>
      </vt:variant>
      <vt:variant>
        <vt:lpwstr/>
      </vt:variant>
      <vt:variant>
        <vt:i4>4784203</vt:i4>
      </vt:variant>
      <vt:variant>
        <vt:i4>540</vt:i4>
      </vt:variant>
      <vt:variant>
        <vt:i4>0</vt:i4>
      </vt:variant>
      <vt:variant>
        <vt:i4>5</vt:i4>
      </vt:variant>
      <vt:variant>
        <vt:lpwstr>https://pensions.northamptonshire.gov.uk/information/about-us/key-documents-northamptonshire/</vt:lpwstr>
      </vt:variant>
      <vt:variant>
        <vt:lpwstr/>
      </vt:variant>
      <vt:variant>
        <vt:i4>4784203</vt:i4>
      </vt:variant>
      <vt:variant>
        <vt:i4>537</vt:i4>
      </vt:variant>
      <vt:variant>
        <vt:i4>0</vt:i4>
      </vt:variant>
      <vt:variant>
        <vt:i4>5</vt:i4>
      </vt:variant>
      <vt:variant>
        <vt:lpwstr>https://pensions.northamptonshire.gov.uk/information/about-us/key-documents-northamptonshire/</vt:lpwstr>
      </vt:variant>
      <vt:variant>
        <vt:lpwstr/>
      </vt:variant>
      <vt:variant>
        <vt:i4>4784203</vt:i4>
      </vt:variant>
      <vt:variant>
        <vt:i4>534</vt:i4>
      </vt:variant>
      <vt:variant>
        <vt:i4>0</vt:i4>
      </vt:variant>
      <vt:variant>
        <vt:i4>5</vt:i4>
      </vt:variant>
      <vt:variant>
        <vt:lpwstr>https://pensions.northamptonshire.gov.uk/information/about-us/key-documents-northamptonshire/</vt:lpwstr>
      </vt:variant>
      <vt:variant>
        <vt:lpwstr/>
      </vt:variant>
      <vt:variant>
        <vt:i4>4784203</vt:i4>
      </vt:variant>
      <vt:variant>
        <vt:i4>531</vt:i4>
      </vt:variant>
      <vt:variant>
        <vt:i4>0</vt:i4>
      </vt:variant>
      <vt:variant>
        <vt:i4>5</vt:i4>
      </vt:variant>
      <vt:variant>
        <vt:lpwstr>https://pensions.northamptonshire.gov.uk/information/about-us/key-documents-northamptonshire/</vt:lpwstr>
      </vt:variant>
      <vt:variant>
        <vt:lpwstr/>
      </vt:variant>
      <vt:variant>
        <vt:i4>4784203</vt:i4>
      </vt:variant>
      <vt:variant>
        <vt:i4>528</vt:i4>
      </vt:variant>
      <vt:variant>
        <vt:i4>0</vt:i4>
      </vt:variant>
      <vt:variant>
        <vt:i4>5</vt:i4>
      </vt:variant>
      <vt:variant>
        <vt:lpwstr>https://pensions.northamptonshire.gov.uk/information/about-us/key-documents-northamptonshire/</vt:lpwstr>
      </vt:variant>
      <vt:variant>
        <vt:lpwstr/>
      </vt:variant>
      <vt:variant>
        <vt:i4>655371</vt:i4>
      </vt:variant>
      <vt:variant>
        <vt:i4>525</vt:i4>
      </vt:variant>
      <vt:variant>
        <vt:i4>0</vt:i4>
      </vt:variant>
      <vt:variant>
        <vt:i4>5</vt:i4>
      </vt:variant>
      <vt:variant>
        <vt:lpwstr>https://pensions.cambridgeshire.gov.uk/information/about-us/key-documents-northamptonshire/annual-report/</vt:lpwstr>
      </vt:variant>
      <vt:variant>
        <vt:lpwstr/>
      </vt:variant>
      <vt:variant>
        <vt:i4>4784203</vt:i4>
      </vt:variant>
      <vt:variant>
        <vt:i4>522</vt:i4>
      </vt:variant>
      <vt:variant>
        <vt:i4>0</vt:i4>
      </vt:variant>
      <vt:variant>
        <vt:i4>5</vt:i4>
      </vt:variant>
      <vt:variant>
        <vt:lpwstr>https://pensions.northamptonshire.gov.uk/information/about-us/key-documents-northamptonshire/</vt:lpwstr>
      </vt:variant>
      <vt:variant>
        <vt:lpwstr/>
      </vt:variant>
      <vt:variant>
        <vt:i4>4784203</vt:i4>
      </vt:variant>
      <vt:variant>
        <vt:i4>519</vt:i4>
      </vt:variant>
      <vt:variant>
        <vt:i4>0</vt:i4>
      </vt:variant>
      <vt:variant>
        <vt:i4>5</vt:i4>
      </vt:variant>
      <vt:variant>
        <vt:lpwstr>https://pensions.northamptonshire.gov.uk/information/about-us/key-documents-northamptonshire/</vt:lpwstr>
      </vt:variant>
      <vt:variant>
        <vt:lpwstr/>
      </vt:variant>
      <vt:variant>
        <vt:i4>1441847</vt:i4>
      </vt:variant>
      <vt:variant>
        <vt:i4>516</vt:i4>
      </vt:variant>
      <vt:variant>
        <vt:i4>0</vt:i4>
      </vt:variant>
      <vt:variant>
        <vt:i4>5</vt:i4>
      </vt:variant>
      <vt:variant>
        <vt:lpwstr/>
      </vt:variant>
      <vt:variant>
        <vt:lpwstr>_Appendix_A_–</vt:lpwstr>
      </vt:variant>
      <vt:variant>
        <vt:i4>4784203</vt:i4>
      </vt:variant>
      <vt:variant>
        <vt:i4>513</vt:i4>
      </vt:variant>
      <vt:variant>
        <vt:i4>0</vt:i4>
      </vt:variant>
      <vt:variant>
        <vt:i4>5</vt:i4>
      </vt:variant>
      <vt:variant>
        <vt:lpwstr>https://pensions.northamptonshire.gov.uk/information/about-us/key-documents-northamptonshire/</vt:lpwstr>
      </vt:variant>
      <vt:variant>
        <vt:lpwstr/>
      </vt:variant>
      <vt:variant>
        <vt:i4>589846</vt:i4>
      </vt:variant>
      <vt:variant>
        <vt:i4>507</vt:i4>
      </vt:variant>
      <vt:variant>
        <vt:i4>0</vt:i4>
      </vt:variant>
      <vt:variant>
        <vt:i4>5</vt:i4>
      </vt:variant>
      <vt:variant>
        <vt:lpwstr/>
      </vt:variant>
      <vt:variant>
        <vt:lpwstr>AppendixE</vt:lpwstr>
      </vt:variant>
      <vt:variant>
        <vt:i4>1441842</vt:i4>
      </vt:variant>
      <vt:variant>
        <vt:i4>504</vt:i4>
      </vt:variant>
      <vt:variant>
        <vt:i4>0</vt:i4>
      </vt:variant>
      <vt:variant>
        <vt:i4>5</vt:i4>
      </vt:variant>
      <vt:variant>
        <vt:lpwstr/>
      </vt:variant>
      <vt:variant>
        <vt:lpwstr>_Appendix_D_–</vt:lpwstr>
      </vt:variant>
      <vt:variant>
        <vt:i4>1441842</vt:i4>
      </vt:variant>
      <vt:variant>
        <vt:i4>501</vt:i4>
      </vt:variant>
      <vt:variant>
        <vt:i4>0</vt:i4>
      </vt:variant>
      <vt:variant>
        <vt:i4>5</vt:i4>
      </vt:variant>
      <vt:variant>
        <vt:lpwstr/>
      </vt:variant>
      <vt:variant>
        <vt:lpwstr>_Appendix_D_–</vt:lpwstr>
      </vt:variant>
      <vt:variant>
        <vt:i4>1441842</vt:i4>
      </vt:variant>
      <vt:variant>
        <vt:i4>498</vt:i4>
      </vt:variant>
      <vt:variant>
        <vt:i4>0</vt:i4>
      </vt:variant>
      <vt:variant>
        <vt:i4>5</vt:i4>
      </vt:variant>
      <vt:variant>
        <vt:lpwstr/>
      </vt:variant>
      <vt:variant>
        <vt:lpwstr>_Appendix_D_–</vt:lpwstr>
      </vt:variant>
      <vt:variant>
        <vt:i4>3997800</vt:i4>
      </vt:variant>
      <vt:variant>
        <vt:i4>495</vt:i4>
      </vt:variant>
      <vt:variant>
        <vt:i4>0</vt:i4>
      </vt:variant>
      <vt:variant>
        <vt:i4>5</vt:i4>
      </vt:variant>
      <vt:variant>
        <vt:lpwstr>https://lgpsregs.org/schemeregs/lgpsregs2013/timeline.php</vt:lpwstr>
      </vt:variant>
      <vt:variant>
        <vt:lpwstr>r62</vt:lpwstr>
      </vt:variant>
      <vt:variant>
        <vt:i4>4784203</vt:i4>
      </vt:variant>
      <vt:variant>
        <vt:i4>492</vt:i4>
      </vt:variant>
      <vt:variant>
        <vt:i4>0</vt:i4>
      </vt:variant>
      <vt:variant>
        <vt:i4>5</vt:i4>
      </vt:variant>
      <vt:variant>
        <vt:lpwstr>https://pensions.northamptonshire.gov.uk/information/about-us/key-documents-northamptonshire/</vt:lpwstr>
      </vt:variant>
      <vt:variant>
        <vt:lpwstr/>
      </vt:variant>
      <vt:variant>
        <vt:i4>1441844</vt:i4>
      </vt:variant>
      <vt:variant>
        <vt:i4>489</vt:i4>
      </vt:variant>
      <vt:variant>
        <vt:i4>0</vt:i4>
      </vt:variant>
      <vt:variant>
        <vt:i4>5</vt:i4>
      </vt:variant>
      <vt:variant>
        <vt:lpwstr/>
      </vt:variant>
      <vt:variant>
        <vt:lpwstr>_Appendix_B_–</vt:lpwstr>
      </vt:variant>
      <vt:variant>
        <vt:i4>3735606</vt:i4>
      </vt:variant>
      <vt:variant>
        <vt:i4>486</vt:i4>
      </vt:variant>
      <vt:variant>
        <vt:i4>0</vt:i4>
      </vt:variant>
      <vt:variant>
        <vt:i4>5</vt:i4>
      </vt:variant>
      <vt:variant>
        <vt:lpwstr>C:\Users\MOakensen\AppData\Local\Microsoft\Windows\INetCache\Content.Outlook\HUQGUYSM\www.lgpsmember.org</vt:lpwstr>
      </vt:variant>
      <vt:variant>
        <vt:lpwstr/>
      </vt:variant>
      <vt:variant>
        <vt:i4>1441847</vt:i4>
      </vt:variant>
      <vt:variant>
        <vt:i4>483</vt:i4>
      </vt:variant>
      <vt:variant>
        <vt:i4>0</vt:i4>
      </vt:variant>
      <vt:variant>
        <vt:i4>5</vt:i4>
      </vt:variant>
      <vt:variant>
        <vt:lpwstr/>
      </vt:variant>
      <vt:variant>
        <vt:lpwstr>_Appendix_A_–</vt:lpwstr>
      </vt:variant>
      <vt:variant>
        <vt:i4>1703988</vt:i4>
      </vt:variant>
      <vt:variant>
        <vt:i4>476</vt:i4>
      </vt:variant>
      <vt:variant>
        <vt:i4>0</vt:i4>
      </vt:variant>
      <vt:variant>
        <vt:i4>5</vt:i4>
      </vt:variant>
      <vt:variant>
        <vt:lpwstr/>
      </vt:variant>
      <vt:variant>
        <vt:lpwstr>_Toc194482928</vt:lpwstr>
      </vt:variant>
      <vt:variant>
        <vt:i4>1703988</vt:i4>
      </vt:variant>
      <vt:variant>
        <vt:i4>470</vt:i4>
      </vt:variant>
      <vt:variant>
        <vt:i4>0</vt:i4>
      </vt:variant>
      <vt:variant>
        <vt:i4>5</vt:i4>
      </vt:variant>
      <vt:variant>
        <vt:lpwstr/>
      </vt:variant>
      <vt:variant>
        <vt:lpwstr>_Toc194482927</vt:lpwstr>
      </vt:variant>
      <vt:variant>
        <vt:i4>1703988</vt:i4>
      </vt:variant>
      <vt:variant>
        <vt:i4>464</vt:i4>
      </vt:variant>
      <vt:variant>
        <vt:i4>0</vt:i4>
      </vt:variant>
      <vt:variant>
        <vt:i4>5</vt:i4>
      </vt:variant>
      <vt:variant>
        <vt:lpwstr/>
      </vt:variant>
      <vt:variant>
        <vt:lpwstr>_Toc194482926</vt:lpwstr>
      </vt:variant>
      <vt:variant>
        <vt:i4>1703988</vt:i4>
      </vt:variant>
      <vt:variant>
        <vt:i4>458</vt:i4>
      </vt:variant>
      <vt:variant>
        <vt:i4>0</vt:i4>
      </vt:variant>
      <vt:variant>
        <vt:i4>5</vt:i4>
      </vt:variant>
      <vt:variant>
        <vt:lpwstr/>
      </vt:variant>
      <vt:variant>
        <vt:lpwstr>_Toc194482925</vt:lpwstr>
      </vt:variant>
      <vt:variant>
        <vt:i4>1703988</vt:i4>
      </vt:variant>
      <vt:variant>
        <vt:i4>452</vt:i4>
      </vt:variant>
      <vt:variant>
        <vt:i4>0</vt:i4>
      </vt:variant>
      <vt:variant>
        <vt:i4>5</vt:i4>
      </vt:variant>
      <vt:variant>
        <vt:lpwstr/>
      </vt:variant>
      <vt:variant>
        <vt:lpwstr>_Toc194482924</vt:lpwstr>
      </vt:variant>
      <vt:variant>
        <vt:i4>1703988</vt:i4>
      </vt:variant>
      <vt:variant>
        <vt:i4>446</vt:i4>
      </vt:variant>
      <vt:variant>
        <vt:i4>0</vt:i4>
      </vt:variant>
      <vt:variant>
        <vt:i4>5</vt:i4>
      </vt:variant>
      <vt:variant>
        <vt:lpwstr/>
      </vt:variant>
      <vt:variant>
        <vt:lpwstr>_Toc194482923</vt:lpwstr>
      </vt:variant>
      <vt:variant>
        <vt:i4>1703988</vt:i4>
      </vt:variant>
      <vt:variant>
        <vt:i4>440</vt:i4>
      </vt:variant>
      <vt:variant>
        <vt:i4>0</vt:i4>
      </vt:variant>
      <vt:variant>
        <vt:i4>5</vt:i4>
      </vt:variant>
      <vt:variant>
        <vt:lpwstr/>
      </vt:variant>
      <vt:variant>
        <vt:lpwstr>_Toc194482922</vt:lpwstr>
      </vt:variant>
      <vt:variant>
        <vt:i4>1703988</vt:i4>
      </vt:variant>
      <vt:variant>
        <vt:i4>434</vt:i4>
      </vt:variant>
      <vt:variant>
        <vt:i4>0</vt:i4>
      </vt:variant>
      <vt:variant>
        <vt:i4>5</vt:i4>
      </vt:variant>
      <vt:variant>
        <vt:lpwstr/>
      </vt:variant>
      <vt:variant>
        <vt:lpwstr>_Toc194482921</vt:lpwstr>
      </vt:variant>
      <vt:variant>
        <vt:i4>1703988</vt:i4>
      </vt:variant>
      <vt:variant>
        <vt:i4>428</vt:i4>
      </vt:variant>
      <vt:variant>
        <vt:i4>0</vt:i4>
      </vt:variant>
      <vt:variant>
        <vt:i4>5</vt:i4>
      </vt:variant>
      <vt:variant>
        <vt:lpwstr/>
      </vt:variant>
      <vt:variant>
        <vt:lpwstr>_Toc194482920</vt:lpwstr>
      </vt:variant>
      <vt:variant>
        <vt:i4>1638452</vt:i4>
      </vt:variant>
      <vt:variant>
        <vt:i4>422</vt:i4>
      </vt:variant>
      <vt:variant>
        <vt:i4>0</vt:i4>
      </vt:variant>
      <vt:variant>
        <vt:i4>5</vt:i4>
      </vt:variant>
      <vt:variant>
        <vt:lpwstr/>
      </vt:variant>
      <vt:variant>
        <vt:lpwstr>_Toc194482919</vt:lpwstr>
      </vt:variant>
      <vt:variant>
        <vt:i4>1638452</vt:i4>
      </vt:variant>
      <vt:variant>
        <vt:i4>416</vt:i4>
      </vt:variant>
      <vt:variant>
        <vt:i4>0</vt:i4>
      </vt:variant>
      <vt:variant>
        <vt:i4>5</vt:i4>
      </vt:variant>
      <vt:variant>
        <vt:lpwstr/>
      </vt:variant>
      <vt:variant>
        <vt:lpwstr>_Toc194482918</vt:lpwstr>
      </vt:variant>
      <vt:variant>
        <vt:i4>1638452</vt:i4>
      </vt:variant>
      <vt:variant>
        <vt:i4>410</vt:i4>
      </vt:variant>
      <vt:variant>
        <vt:i4>0</vt:i4>
      </vt:variant>
      <vt:variant>
        <vt:i4>5</vt:i4>
      </vt:variant>
      <vt:variant>
        <vt:lpwstr/>
      </vt:variant>
      <vt:variant>
        <vt:lpwstr>_Toc194482917</vt:lpwstr>
      </vt:variant>
      <vt:variant>
        <vt:i4>1638452</vt:i4>
      </vt:variant>
      <vt:variant>
        <vt:i4>404</vt:i4>
      </vt:variant>
      <vt:variant>
        <vt:i4>0</vt:i4>
      </vt:variant>
      <vt:variant>
        <vt:i4>5</vt:i4>
      </vt:variant>
      <vt:variant>
        <vt:lpwstr/>
      </vt:variant>
      <vt:variant>
        <vt:lpwstr>_Toc194482916</vt:lpwstr>
      </vt:variant>
      <vt:variant>
        <vt:i4>1638452</vt:i4>
      </vt:variant>
      <vt:variant>
        <vt:i4>398</vt:i4>
      </vt:variant>
      <vt:variant>
        <vt:i4>0</vt:i4>
      </vt:variant>
      <vt:variant>
        <vt:i4>5</vt:i4>
      </vt:variant>
      <vt:variant>
        <vt:lpwstr/>
      </vt:variant>
      <vt:variant>
        <vt:lpwstr>_Toc194482915</vt:lpwstr>
      </vt:variant>
      <vt:variant>
        <vt:i4>1638452</vt:i4>
      </vt:variant>
      <vt:variant>
        <vt:i4>392</vt:i4>
      </vt:variant>
      <vt:variant>
        <vt:i4>0</vt:i4>
      </vt:variant>
      <vt:variant>
        <vt:i4>5</vt:i4>
      </vt:variant>
      <vt:variant>
        <vt:lpwstr/>
      </vt:variant>
      <vt:variant>
        <vt:lpwstr>_Toc194482914</vt:lpwstr>
      </vt:variant>
      <vt:variant>
        <vt:i4>1638452</vt:i4>
      </vt:variant>
      <vt:variant>
        <vt:i4>386</vt:i4>
      </vt:variant>
      <vt:variant>
        <vt:i4>0</vt:i4>
      </vt:variant>
      <vt:variant>
        <vt:i4>5</vt:i4>
      </vt:variant>
      <vt:variant>
        <vt:lpwstr/>
      </vt:variant>
      <vt:variant>
        <vt:lpwstr>_Toc194482913</vt:lpwstr>
      </vt:variant>
      <vt:variant>
        <vt:i4>1638452</vt:i4>
      </vt:variant>
      <vt:variant>
        <vt:i4>380</vt:i4>
      </vt:variant>
      <vt:variant>
        <vt:i4>0</vt:i4>
      </vt:variant>
      <vt:variant>
        <vt:i4>5</vt:i4>
      </vt:variant>
      <vt:variant>
        <vt:lpwstr/>
      </vt:variant>
      <vt:variant>
        <vt:lpwstr>_Toc194482912</vt:lpwstr>
      </vt:variant>
      <vt:variant>
        <vt:i4>1638452</vt:i4>
      </vt:variant>
      <vt:variant>
        <vt:i4>374</vt:i4>
      </vt:variant>
      <vt:variant>
        <vt:i4>0</vt:i4>
      </vt:variant>
      <vt:variant>
        <vt:i4>5</vt:i4>
      </vt:variant>
      <vt:variant>
        <vt:lpwstr/>
      </vt:variant>
      <vt:variant>
        <vt:lpwstr>_Toc194482911</vt:lpwstr>
      </vt:variant>
      <vt:variant>
        <vt:i4>1638452</vt:i4>
      </vt:variant>
      <vt:variant>
        <vt:i4>368</vt:i4>
      </vt:variant>
      <vt:variant>
        <vt:i4>0</vt:i4>
      </vt:variant>
      <vt:variant>
        <vt:i4>5</vt:i4>
      </vt:variant>
      <vt:variant>
        <vt:lpwstr/>
      </vt:variant>
      <vt:variant>
        <vt:lpwstr>_Toc194482910</vt:lpwstr>
      </vt:variant>
      <vt:variant>
        <vt:i4>1572916</vt:i4>
      </vt:variant>
      <vt:variant>
        <vt:i4>362</vt:i4>
      </vt:variant>
      <vt:variant>
        <vt:i4>0</vt:i4>
      </vt:variant>
      <vt:variant>
        <vt:i4>5</vt:i4>
      </vt:variant>
      <vt:variant>
        <vt:lpwstr/>
      </vt:variant>
      <vt:variant>
        <vt:lpwstr>_Toc194482909</vt:lpwstr>
      </vt:variant>
      <vt:variant>
        <vt:i4>1572916</vt:i4>
      </vt:variant>
      <vt:variant>
        <vt:i4>356</vt:i4>
      </vt:variant>
      <vt:variant>
        <vt:i4>0</vt:i4>
      </vt:variant>
      <vt:variant>
        <vt:i4>5</vt:i4>
      </vt:variant>
      <vt:variant>
        <vt:lpwstr/>
      </vt:variant>
      <vt:variant>
        <vt:lpwstr>_Toc194482908</vt:lpwstr>
      </vt:variant>
      <vt:variant>
        <vt:i4>1572916</vt:i4>
      </vt:variant>
      <vt:variant>
        <vt:i4>350</vt:i4>
      </vt:variant>
      <vt:variant>
        <vt:i4>0</vt:i4>
      </vt:variant>
      <vt:variant>
        <vt:i4>5</vt:i4>
      </vt:variant>
      <vt:variant>
        <vt:lpwstr/>
      </vt:variant>
      <vt:variant>
        <vt:lpwstr>_Toc194482907</vt:lpwstr>
      </vt:variant>
      <vt:variant>
        <vt:i4>1572916</vt:i4>
      </vt:variant>
      <vt:variant>
        <vt:i4>344</vt:i4>
      </vt:variant>
      <vt:variant>
        <vt:i4>0</vt:i4>
      </vt:variant>
      <vt:variant>
        <vt:i4>5</vt:i4>
      </vt:variant>
      <vt:variant>
        <vt:lpwstr/>
      </vt:variant>
      <vt:variant>
        <vt:lpwstr>_Toc194482906</vt:lpwstr>
      </vt:variant>
      <vt:variant>
        <vt:i4>1572916</vt:i4>
      </vt:variant>
      <vt:variant>
        <vt:i4>338</vt:i4>
      </vt:variant>
      <vt:variant>
        <vt:i4>0</vt:i4>
      </vt:variant>
      <vt:variant>
        <vt:i4>5</vt:i4>
      </vt:variant>
      <vt:variant>
        <vt:lpwstr/>
      </vt:variant>
      <vt:variant>
        <vt:lpwstr>_Toc194482905</vt:lpwstr>
      </vt:variant>
      <vt:variant>
        <vt:i4>1572916</vt:i4>
      </vt:variant>
      <vt:variant>
        <vt:i4>332</vt:i4>
      </vt:variant>
      <vt:variant>
        <vt:i4>0</vt:i4>
      </vt:variant>
      <vt:variant>
        <vt:i4>5</vt:i4>
      </vt:variant>
      <vt:variant>
        <vt:lpwstr/>
      </vt:variant>
      <vt:variant>
        <vt:lpwstr>_Toc194482904</vt:lpwstr>
      </vt:variant>
      <vt:variant>
        <vt:i4>1572916</vt:i4>
      </vt:variant>
      <vt:variant>
        <vt:i4>326</vt:i4>
      </vt:variant>
      <vt:variant>
        <vt:i4>0</vt:i4>
      </vt:variant>
      <vt:variant>
        <vt:i4>5</vt:i4>
      </vt:variant>
      <vt:variant>
        <vt:lpwstr/>
      </vt:variant>
      <vt:variant>
        <vt:lpwstr>_Toc194482903</vt:lpwstr>
      </vt:variant>
      <vt:variant>
        <vt:i4>1572916</vt:i4>
      </vt:variant>
      <vt:variant>
        <vt:i4>320</vt:i4>
      </vt:variant>
      <vt:variant>
        <vt:i4>0</vt:i4>
      </vt:variant>
      <vt:variant>
        <vt:i4>5</vt:i4>
      </vt:variant>
      <vt:variant>
        <vt:lpwstr/>
      </vt:variant>
      <vt:variant>
        <vt:lpwstr>_Toc194482902</vt:lpwstr>
      </vt:variant>
      <vt:variant>
        <vt:i4>1572916</vt:i4>
      </vt:variant>
      <vt:variant>
        <vt:i4>314</vt:i4>
      </vt:variant>
      <vt:variant>
        <vt:i4>0</vt:i4>
      </vt:variant>
      <vt:variant>
        <vt:i4>5</vt:i4>
      </vt:variant>
      <vt:variant>
        <vt:lpwstr/>
      </vt:variant>
      <vt:variant>
        <vt:lpwstr>_Toc194482901</vt:lpwstr>
      </vt:variant>
      <vt:variant>
        <vt:i4>1572916</vt:i4>
      </vt:variant>
      <vt:variant>
        <vt:i4>308</vt:i4>
      </vt:variant>
      <vt:variant>
        <vt:i4>0</vt:i4>
      </vt:variant>
      <vt:variant>
        <vt:i4>5</vt:i4>
      </vt:variant>
      <vt:variant>
        <vt:lpwstr/>
      </vt:variant>
      <vt:variant>
        <vt:lpwstr>_Toc194482900</vt:lpwstr>
      </vt:variant>
      <vt:variant>
        <vt:i4>1114165</vt:i4>
      </vt:variant>
      <vt:variant>
        <vt:i4>302</vt:i4>
      </vt:variant>
      <vt:variant>
        <vt:i4>0</vt:i4>
      </vt:variant>
      <vt:variant>
        <vt:i4>5</vt:i4>
      </vt:variant>
      <vt:variant>
        <vt:lpwstr/>
      </vt:variant>
      <vt:variant>
        <vt:lpwstr>_Toc194482899</vt:lpwstr>
      </vt:variant>
      <vt:variant>
        <vt:i4>1114165</vt:i4>
      </vt:variant>
      <vt:variant>
        <vt:i4>296</vt:i4>
      </vt:variant>
      <vt:variant>
        <vt:i4>0</vt:i4>
      </vt:variant>
      <vt:variant>
        <vt:i4>5</vt:i4>
      </vt:variant>
      <vt:variant>
        <vt:lpwstr/>
      </vt:variant>
      <vt:variant>
        <vt:lpwstr>_Toc194482898</vt:lpwstr>
      </vt:variant>
      <vt:variant>
        <vt:i4>1114165</vt:i4>
      </vt:variant>
      <vt:variant>
        <vt:i4>290</vt:i4>
      </vt:variant>
      <vt:variant>
        <vt:i4>0</vt:i4>
      </vt:variant>
      <vt:variant>
        <vt:i4>5</vt:i4>
      </vt:variant>
      <vt:variant>
        <vt:lpwstr/>
      </vt:variant>
      <vt:variant>
        <vt:lpwstr>_Toc194482897</vt:lpwstr>
      </vt:variant>
      <vt:variant>
        <vt:i4>1114165</vt:i4>
      </vt:variant>
      <vt:variant>
        <vt:i4>284</vt:i4>
      </vt:variant>
      <vt:variant>
        <vt:i4>0</vt:i4>
      </vt:variant>
      <vt:variant>
        <vt:i4>5</vt:i4>
      </vt:variant>
      <vt:variant>
        <vt:lpwstr/>
      </vt:variant>
      <vt:variant>
        <vt:lpwstr>_Toc194482896</vt:lpwstr>
      </vt:variant>
      <vt:variant>
        <vt:i4>1114165</vt:i4>
      </vt:variant>
      <vt:variant>
        <vt:i4>278</vt:i4>
      </vt:variant>
      <vt:variant>
        <vt:i4>0</vt:i4>
      </vt:variant>
      <vt:variant>
        <vt:i4>5</vt:i4>
      </vt:variant>
      <vt:variant>
        <vt:lpwstr/>
      </vt:variant>
      <vt:variant>
        <vt:lpwstr>_Toc194482895</vt:lpwstr>
      </vt:variant>
      <vt:variant>
        <vt:i4>1114165</vt:i4>
      </vt:variant>
      <vt:variant>
        <vt:i4>272</vt:i4>
      </vt:variant>
      <vt:variant>
        <vt:i4>0</vt:i4>
      </vt:variant>
      <vt:variant>
        <vt:i4>5</vt:i4>
      </vt:variant>
      <vt:variant>
        <vt:lpwstr/>
      </vt:variant>
      <vt:variant>
        <vt:lpwstr>_Toc194482894</vt:lpwstr>
      </vt:variant>
      <vt:variant>
        <vt:i4>1114165</vt:i4>
      </vt:variant>
      <vt:variant>
        <vt:i4>266</vt:i4>
      </vt:variant>
      <vt:variant>
        <vt:i4>0</vt:i4>
      </vt:variant>
      <vt:variant>
        <vt:i4>5</vt:i4>
      </vt:variant>
      <vt:variant>
        <vt:lpwstr/>
      </vt:variant>
      <vt:variant>
        <vt:lpwstr>_Toc194482893</vt:lpwstr>
      </vt:variant>
      <vt:variant>
        <vt:i4>1114165</vt:i4>
      </vt:variant>
      <vt:variant>
        <vt:i4>260</vt:i4>
      </vt:variant>
      <vt:variant>
        <vt:i4>0</vt:i4>
      </vt:variant>
      <vt:variant>
        <vt:i4>5</vt:i4>
      </vt:variant>
      <vt:variant>
        <vt:lpwstr/>
      </vt:variant>
      <vt:variant>
        <vt:lpwstr>_Toc194482892</vt:lpwstr>
      </vt:variant>
      <vt:variant>
        <vt:i4>1114165</vt:i4>
      </vt:variant>
      <vt:variant>
        <vt:i4>254</vt:i4>
      </vt:variant>
      <vt:variant>
        <vt:i4>0</vt:i4>
      </vt:variant>
      <vt:variant>
        <vt:i4>5</vt:i4>
      </vt:variant>
      <vt:variant>
        <vt:lpwstr/>
      </vt:variant>
      <vt:variant>
        <vt:lpwstr>_Toc194482891</vt:lpwstr>
      </vt:variant>
      <vt:variant>
        <vt:i4>1114165</vt:i4>
      </vt:variant>
      <vt:variant>
        <vt:i4>248</vt:i4>
      </vt:variant>
      <vt:variant>
        <vt:i4>0</vt:i4>
      </vt:variant>
      <vt:variant>
        <vt:i4>5</vt:i4>
      </vt:variant>
      <vt:variant>
        <vt:lpwstr/>
      </vt:variant>
      <vt:variant>
        <vt:lpwstr>_Toc194482890</vt:lpwstr>
      </vt:variant>
      <vt:variant>
        <vt:i4>1048629</vt:i4>
      </vt:variant>
      <vt:variant>
        <vt:i4>242</vt:i4>
      </vt:variant>
      <vt:variant>
        <vt:i4>0</vt:i4>
      </vt:variant>
      <vt:variant>
        <vt:i4>5</vt:i4>
      </vt:variant>
      <vt:variant>
        <vt:lpwstr/>
      </vt:variant>
      <vt:variant>
        <vt:lpwstr>_Toc194482889</vt:lpwstr>
      </vt:variant>
      <vt:variant>
        <vt:i4>1048629</vt:i4>
      </vt:variant>
      <vt:variant>
        <vt:i4>236</vt:i4>
      </vt:variant>
      <vt:variant>
        <vt:i4>0</vt:i4>
      </vt:variant>
      <vt:variant>
        <vt:i4>5</vt:i4>
      </vt:variant>
      <vt:variant>
        <vt:lpwstr/>
      </vt:variant>
      <vt:variant>
        <vt:lpwstr>_Toc194482888</vt:lpwstr>
      </vt:variant>
      <vt:variant>
        <vt:i4>1048629</vt:i4>
      </vt:variant>
      <vt:variant>
        <vt:i4>230</vt:i4>
      </vt:variant>
      <vt:variant>
        <vt:i4>0</vt:i4>
      </vt:variant>
      <vt:variant>
        <vt:i4>5</vt:i4>
      </vt:variant>
      <vt:variant>
        <vt:lpwstr/>
      </vt:variant>
      <vt:variant>
        <vt:lpwstr>_Toc194482887</vt:lpwstr>
      </vt:variant>
      <vt:variant>
        <vt:i4>1048629</vt:i4>
      </vt:variant>
      <vt:variant>
        <vt:i4>224</vt:i4>
      </vt:variant>
      <vt:variant>
        <vt:i4>0</vt:i4>
      </vt:variant>
      <vt:variant>
        <vt:i4>5</vt:i4>
      </vt:variant>
      <vt:variant>
        <vt:lpwstr/>
      </vt:variant>
      <vt:variant>
        <vt:lpwstr>_Toc194482886</vt:lpwstr>
      </vt:variant>
      <vt:variant>
        <vt:i4>1048629</vt:i4>
      </vt:variant>
      <vt:variant>
        <vt:i4>218</vt:i4>
      </vt:variant>
      <vt:variant>
        <vt:i4>0</vt:i4>
      </vt:variant>
      <vt:variant>
        <vt:i4>5</vt:i4>
      </vt:variant>
      <vt:variant>
        <vt:lpwstr/>
      </vt:variant>
      <vt:variant>
        <vt:lpwstr>_Toc194482885</vt:lpwstr>
      </vt:variant>
      <vt:variant>
        <vt:i4>1048629</vt:i4>
      </vt:variant>
      <vt:variant>
        <vt:i4>212</vt:i4>
      </vt:variant>
      <vt:variant>
        <vt:i4>0</vt:i4>
      </vt:variant>
      <vt:variant>
        <vt:i4>5</vt:i4>
      </vt:variant>
      <vt:variant>
        <vt:lpwstr/>
      </vt:variant>
      <vt:variant>
        <vt:lpwstr>_Toc194482884</vt:lpwstr>
      </vt:variant>
      <vt:variant>
        <vt:i4>1048629</vt:i4>
      </vt:variant>
      <vt:variant>
        <vt:i4>206</vt:i4>
      </vt:variant>
      <vt:variant>
        <vt:i4>0</vt:i4>
      </vt:variant>
      <vt:variant>
        <vt:i4>5</vt:i4>
      </vt:variant>
      <vt:variant>
        <vt:lpwstr/>
      </vt:variant>
      <vt:variant>
        <vt:lpwstr>_Toc194482883</vt:lpwstr>
      </vt:variant>
      <vt:variant>
        <vt:i4>1048629</vt:i4>
      </vt:variant>
      <vt:variant>
        <vt:i4>200</vt:i4>
      </vt:variant>
      <vt:variant>
        <vt:i4>0</vt:i4>
      </vt:variant>
      <vt:variant>
        <vt:i4>5</vt:i4>
      </vt:variant>
      <vt:variant>
        <vt:lpwstr/>
      </vt:variant>
      <vt:variant>
        <vt:lpwstr>_Toc194482882</vt:lpwstr>
      </vt:variant>
      <vt:variant>
        <vt:i4>1048629</vt:i4>
      </vt:variant>
      <vt:variant>
        <vt:i4>194</vt:i4>
      </vt:variant>
      <vt:variant>
        <vt:i4>0</vt:i4>
      </vt:variant>
      <vt:variant>
        <vt:i4>5</vt:i4>
      </vt:variant>
      <vt:variant>
        <vt:lpwstr/>
      </vt:variant>
      <vt:variant>
        <vt:lpwstr>_Toc194482881</vt:lpwstr>
      </vt:variant>
      <vt:variant>
        <vt:i4>1048629</vt:i4>
      </vt:variant>
      <vt:variant>
        <vt:i4>188</vt:i4>
      </vt:variant>
      <vt:variant>
        <vt:i4>0</vt:i4>
      </vt:variant>
      <vt:variant>
        <vt:i4>5</vt:i4>
      </vt:variant>
      <vt:variant>
        <vt:lpwstr/>
      </vt:variant>
      <vt:variant>
        <vt:lpwstr>_Toc194482880</vt:lpwstr>
      </vt:variant>
      <vt:variant>
        <vt:i4>2031669</vt:i4>
      </vt:variant>
      <vt:variant>
        <vt:i4>182</vt:i4>
      </vt:variant>
      <vt:variant>
        <vt:i4>0</vt:i4>
      </vt:variant>
      <vt:variant>
        <vt:i4>5</vt:i4>
      </vt:variant>
      <vt:variant>
        <vt:lpwstr/>
      </vt:variant>
      <vt:variant>
        <vt:lpwstr>_Toc194482879</vt:lpwstr>
      </vt:variant>
      <vt:variant>
        <vt:i4>2031669</vt:i4>
      </vt:variant>
      <vt:variant>
        <vt:i4>176</vt:i4>
      </vt:variant>
      <vt:variant>
        <vt:i4>0</vt:i4>
      </vt:variant>
      <vt:variant>
        <vt:i4>5</vt:i4>
      </vt:variant>
      <vt:variant>
        <vt:lpwstr/>
      </vt:variant>
      <vt:variant>
        <vt:lpwstr>_Toc194482878</vt:lpwstr>
      </vt:variant>
      <vt:variant>
        <vt:i4>2031669</vt:i4>
      </vt:variant>
      <vt:variant>
        <vt:i4>170</vt:i4>
      </vt:variant>
      <vt:variant>
        <vt:i4>0</vt:i4>
      </vt:variant>
      <vt:variant>
        <vt:i4>5</vt:i4>
      </vt:variant>
      <vt:variant>
        <vt:lpwstr/>
      </vt:variant>
      <vt:variant>
        <vt:lpwstr>_Toc194482877</vt:lpwstr>
      </vt:variant>
      <vt:variant>
        <vt:i4>2031669</vt:i4>
      </vt:variant>
      <vt:variant>
        <vt:i4>164</vt:i4>
      </vt:variant>
      <vt:variant>
        <vt:i4>0</vt:i4>
      </vt:variant>
      <vt:variant>
        <vt:i4>5</vt:i4>
      </vt:variant>
      <vt:variant>
        <vt:lpwstr/>
      </vt:variant>
      <vt:variant>
        <vt:lpwstr>_Toc194482876</vt:lpwstr>
      </vt:variant>
      <vt:variant>
        <vt:i4>2031669</vt:i4>
      </vt:variant>
      <vt:variant>
        <vt:i4>158</vt:i4>
      </vt:variant>
      <vt:variant>
        <vt:i4>0</vt:i4>
      </vt:variant>
      <vt:variant>
        <vt:i4>5</vt:i4>
      </vt:variant>
      <vt:variant>
        <vt:lpwstr/>
      </vt:variant>
      <vt:variant>
        <vt:lpwstr>_Toc194482875</vt:lpwstr>
      </vt:variant>
      <vt:variant>
        <vt:i4>2031669</vt:i4>
      </vt:variant>
      <vt:variant>
        <vt:i4>152</vt:i4>
      </vt:variant>
      <vt:variant>
        <vt:i4>0</vt:i4>
      </vt:variant>
      <vt:variant>
        <vt:i4>5</vt:i4>
      </vt:variant>
      <vt:variant>
        <vt:lpwstr/>
      </vt:variant>
      <vt:variant>
        <vt:lpwstr>_Toc194482874</vt:lpwstr>
      </vt:variant>
      <vt:variant>
        <vt:i4>2031669</vt:i4>
      </vt:variant>
      <vt:variant>
        <vt:i4>146</vt:i4>
      </vt:variant>
      <vt:variant>
        <vt:i4>0</vt:i4>
      </vt:variant>
      <vt:variant>
        <vt:i4>5</vt:i4>
      </vt:variant>
      <vt:variant>
        <vt:lpwstr/>
      </vt:variant>
      <vt:variant>
        <vt:lpwstr>_Toc194482873</vt:lpwstr>
      </vt:variant>
      <vt:variant>
        <vt:i4>2031669</vt:i4>
      </vt:variant>
      <vt:variant>
        <vt:i4>140</vt:i4>
      </vt:variant>
      <vt:variant>
        <vt:i4>0</vt:i4>
      </vt:variant>
      <vt:variant>
        <vt:i4>5</vt:i4>
      </vt:variant>
      <vt:variant>
        <vt:lpwstr/>
      </vt:variant>
      <vt:variant>
        <vt:lpwstr>_Toc194482872</vt:lpwstr>
      </vt:variant>
      <vt:variant>
        <vt:i4>2031669</vt:i4>
      </vt:variant>
      <vt:variant>
        <vt:i4>134</vt:i4>
      </vt:variant>
      <vt:variant>
        <vt:i4>0</vt:i4>
      </vt:variant>
      <vt:variant>
        <vt:i4>5</vt:i4>
      </vt:variant>
      <vt:variant>
        <vt:lpwstr/>
      </vt:variant>
      <vt:variant>
        <vt:lpwstr>_Toc194482871</vt:lpwstr>
      </vt:variant>
      <vt:variant>
        <vt:i4>2031669</vt:i4>
      </vt:variant>
      <vt:variant>
        <vt:i4>128</vt:i4>
      </vt:variant>
      <vt:variant>
        <vt:i4>0</vt:i4>
      </vt:variant>
      <vt:variant>
        <vt:i4>5</vt:i4>
      </vt:variant>
      <vt:variant>
        <vt:lpwstr/>
      </vt:variant>
      <vt:variant>
        <vt:lpwstr>_Toc194482870</vt:lpwstr>
      </vt:variant>
      <vt:variant>
        <vt:i4>1966133</vt:i4>
      </vt:variant>
      <vt:variant>
        <vt:i4>122</vt:i4>
      </vt:variant>
      <vt:variant>
        <vt:i4>0</vt:i4>
      </vt:variant>
      <vt:variant>
        <vt:i4>5</vt:i4>
      </vt:variant>
      <vt:variant>
        <vt:lpwstr/>
      </vt:variant>
      <vt:variant>
        <vt:lpwstr>_Toc194482869</vt:lpwstr>
      </vt:variant>
      <vt:variant>
        <vt:i4>1966133</vt:i4>
      </vt:variant>
      <vt:variant>
        <vt:i4>116</vt:i4>
      </vt:variant>
      <vt:variant>
        <vt:i4>0</vt:i4>
      </vt:variant>
      <vt:variant>
        <vt:i4>5</vt:i4>
      </vt:variant>
      <vt:variant>
        <vt:lpwstr/>
      </vt:variant>
      <vt:variant>
        <vt:lpwstr>_Toc194482868</vt:lpwstr>
      </vt:variant>
      <vt:variant>
        <vt:i4>1966133</vt:i4>
      </vt:variant>
      <vt:variant>
        <vt:i4>110</vt:i4>
      </vt:variant>
      <vt:variant>
        <vt:i4>0</vt:i4>
      </vt:variant>
      <vt:variant>
        <vt:i4>5</vt:i4>
      </vt:variant>
      <vt:variant>
        <vt:lpwstr/>
      </vt:variant>
      <vt:variant>
        <vt:lpwstr>_Toc194482867</vt:lpwstr>
      </vt:variant>
      <vt:variant>
        <vt:i4>1966133</vt:i4>
      </vt:variant>
      <vt:variant>
        <vt:i4>104</vt:i4>
      </vt:variant>
      <vt:variant>
        <vt:i4>0</vt:i4>
      </vt:variant>
      <vt:variant>
        <vt:i4>5</vt:i4>
      </vt:variant>
      <vt:variant>
        <vt:lpwstr/>
      </vt:variant>
      <vt:variant>
        <vt:lpwstr>_Toc194482866</vt:lpwstr>
      </vt:variant>
      <vt:variant>
        <vt:i4>1966133</vt:i4>
      </vt:variant>
      <vt:variant>
        <vt:i4>98</vt:i4>
      </vt:variant>
      <vt:variant>
        <vt:i4>0</vt:i4>
      </vt:variant>
      <vt:variant>
        <vt:i4>5</vt:i4>
      </vt:variant>
      <vt:variant>
        <vt:lpwstr/>
      </vt:variant>
      <vt:variant>
        <vt:lpwstr>_Toc194482865</vt:lpwstr>
      </vt:variant>
      <vt:variant>
        <vt:i4>1966133</vt:i4>
      </vt:variant>
      <vt:variant>
        <vt:i4>92</vt:i4>
      </vt:variant>
      <vt:variant>
        <vt:i4>0</vt:i4>
      </vt:variant>
      <vt:variant>
        <vt:i4>5</vt:i4>
      </vt:variant>
      <vt:variant>
        <vt:lpwstr/>
      </vt:variant>
      <vt:variant>
        <vt:lpwstr>_Toc194482864</vt:lpwstr>
      </vt:variant>
      <vt:variant>
        <vt:i4>1966133</vt:i4>
      </vt:variant>
      <vt:variant>
        <vt:i4>86</vt:i4>
      </vt:variant>
      <vt:variant>
        <vt:i4>0</vt:i4>
      </vt:variant>
      <vt:variant>
        <vt:i4>5</vt:i4>
      </vt:variant>
      <vt:variant>
        <vt:lpwstr/>
      </vt:variant>
      <vt:variant>
        <vt:lpwstr>_Toc194482863</vt:lpwstr>
      </vt:variant>
      <vt:variant>
        <vt:i4>1966133</vt:i4>
      </vt:variant>
      <vt:variant>
        <vt:i4>80</vt:i4>
      </vt:variant>
      <vt:variant>
        <vt:i4>0</vt:i4>
      </vt:variant>
      <vt:variant>
        <vt:i4>5</vt:i4>
      </vt:variant>
      <vt:variant>
        <vt:lpwstr/>
      </vt:variant>
      <vt:variant>
        <vt:lpwstr>_Toc194482862</vt:lpwstr>
      </vt:variant>
      <vt:variant>
        <vt:i4>1966133</vt:i4>
      </vt:variant>
      <vt:variant>
        <vt:i4>74</vt:i4>
      </vt:variant>
      <vt:variant>
        <vt:i4>0</vt:i4>
      </vt:variant>
      <vt:variant>
        <vt:i4>5</vt:i4>
      </vt:variant>
      <vt:variant>
        <vt:lpwstr/>
      </vt:variant>
      <vt:variant>
        <vt:lpwstr>_Toc194482861</vt:lpwstr>
      </vt:variant>
      <vt:variant>
        <vt:i4>1966133</vt:i4>
      </vt:variant>
      <vt:variant>
        <vt:i4>68</vt:i4>
      </vt:variant>
      <vt:variant>
        <vt:i4>0</vt:i4>
      </vt:variant>
      <vt:variant>
        <vt:i4>5</vt:i4>
      </vt:variant>
      <vt:variant>
        <vt:lpwstr/>
      </vt:variant>
      <vt:variant>
        <vt:lpwstr>_Toc194482860</vt:lpwstr>
      </vt:variant>
      <vt:variant>
        <vt:i4>1900597</vt:i4>
      </vt:variant>
      <vt:variant>
        <vt:i4>62</vt:i4>
      </vt:variant>
      <vt:variant>
        <vt:i4>0</vt:i4>
      </vt:variant>
      <vt:variant>
        <vt:i4>5</vt:i4>
      </vt:variant>
      <vt:variant>
        <vt:lpwstr/>
      </vt:variant>
      <vt:variant>
        <vt:lpwstr>_Toc194482859</vt:lpwstr>
      </vt:variant>
      <vt:variant>
        <vt:i4>1900597</vt:i4>
      </vt:variant>
      <vt:variant>
        <vt:i4>56</vt:i4>
      </vt:variant>
      <vt:variant>
        <vt:i4>0</vt:i4>
      </vt:variant>
      <vt:variant>
        <vt:i4>5</vt:i4>
      </vt:variant>
      <vt:variant>
        <vt:lpwstr/>
      </vt:variant>
      <vt:variant>
        <vt:lpwstr>_Toc194482858</vt:lpwstr>
      </vt:variant>
      <vt:variant>
        <vt:i4>1900597</vt:i4>
      </vt:variant>
      <vt:variant>
        <vt:i4>50</vt:i4>
      </vt:variant>
      <vt:variant>
        <vt:i4>0</vt:i4>
      </vt:variant>
      <vt:variant>
        <vt:i4>5</vt:i4>
      </vt:variant>
      <vt:variant>
        <vt:lpwstr/>
      </vt:variant>
      <vt:variant>
        <vt:lpwstr>_Toc194482857</vt:lpwstr>
      </vt:variant>
      <vt:variant>
        <vt:i4>1900597</vt:i4>
      </vt:variant>
      <vt:variant>
        <vt:i4>44</vt:i4>
      </vt:variant>
      <vt:variant>
        <vt:i4>0</vt:i4>
      </vt:variant>
      <vt:variant>
        <vt:i4>5</vt:i4>
      </vt:variant>
      <vt:variant>
        <vt:lpwstr/>
      </vt:variant>
      <vt:variant>
        <vt:lpwstr>_Toc194482856</vt:lpwstr>
      </vt:variant>
      <vt:variant>
        <vt:i4>1900597</vt:i4>
      </vt:variant>
      <vt:variant>
        <vt:i4>38</vt:i4>
      </vt:variant>
      <vt:variant>
        <vt:i4>0</vt:i4>
      </vt:variant>
      <vt:variant>
        <vt:i4>5</vt:i4>
      </vt:variant>
      <vt:variant>
        <vt:lpwstr/>
      </vt:variant>
      <vt:variant>
        <vt:lpwstr>_Toc194482855</vt:lpwstr>
      </vt:variant>
      <vt:variant>
        <vt:i4>1900597</vt:i4>
      </vt:variant>
      <vt:variant>
        <vt:i4>32</vt:i4>
      </vt:variant>
      <vt:variant>
        <vt:i4>0</vt:i4>
      </vt:variant>
      <vt:variant>
        <vt:i4>5</vt:i4>
      </vt:variant>
      <vt:variant>
        <vt:lpwstr/>
      </vt:variant>
      <vt:variant>
        <vt:lpwstr>_Toc194482854</vt:lpwstr>
      </vt:variant>
      <vt:variant>
        <vt:i4>1900597</vt:i4>
      </vt:variant>
      <vt:variant>
        <vt:i4>26</vt:i4>
      </vt:variant>
      <vt:variant>
        <vt:i4>0</vt:i4>
      </vt:variant>
      <vt:variant>
        <vt:i4>5</vt:i4>
      </vt:variant>
      <vt:variant>
        <vt:lpwstr/>
      </vt:variant>
      <vt:variant>
        <vt:lpwstr>_Toc194482853</vt:lpwstr>
      </vt:variant>
      <vt:variant>
        <vt:i4>1900597</vt:i4>
      </vt:variant>
      <vt:variant>
        <vt:i4>20</vt:i4>
      </vt:variant>
      <vt:variant>
        <vt:i4>0</vt:i4>
      </vt:variant>
      <vt:variant>
        <vt:i4>5</vt:i4>
      </vt:variant>
      <vt:variant>
        <vt:lpwstr/>
      </vt:variant>
      <vt:variant>
        <vt:lpwstr>_Toc194482852</vt:lpwstr>
      </vt:variant>
      <vt:variant>
        <vt:i4>1900597</vt:i4>
      </vt:variant>
      <vt:variant>
        <vt:i4>14</vt:i4>
      </vt:variant>
      <vt:variant>
        <vt:i4>0</vt:i4>
      </vt:variant>
      <vt:variant>
        <vt:i4>5</vt:i4>
      </vt:variant>
      <vt:variant>
        <vt:lpwstr/>
      </vt:variant>
      <vt:variant>
        <vt:lpwstr>_Toc194482851</vt:lpwstr>
      </vt:variant>
      <vt:variant>
        <vt:i4>1900597</vt:i4>
      </vt:variant>
      <vt:variant>
        <vt:i4>8</vt:i4>
      </vt:variant>
      <vt:variant>
        <vt:i4>0</vt:i4>
      </vt:variant>
      <vt:variant>
        <vt:i4>5</vt:i4>
      </vt:variant>
      <vt:variant>
        <vt:lpwstr/>
      </vt:variant>
      <vt:variant>
        <vt:lpwstr>_Toc194482850</vt:lpwstr>
      </vt:variant>
      <vt:variant>
        <vt:i4>1835061</vt:i4>
      </vt:variant>
      <vt:variant>
        <vt:i4>2</vt:i4>
      </vt:variant>
      <vt:variant>
        <vt:i4>0</vt:i4>
      </vt:variant>
      <vt:variant>
        <vt:i4>5</vt:i4>
      </vt:variant>
      <vt:variant>
        <vt:lpwstr/>
      </vt:variant>
      <vt:variant>
        <vt:lpwstr>_Toc194482849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Ana-Maria Neal Gonzalez</cp:lastModifiedBy>
  <cp:revision>2</cp:revision>
  <dcterms:created xsi:type="dcterms:W3CDTF">2026-03-31T08:17:00Z</dcterms:created>
  <dcterms:modified xsi:type="dcterms:W3CDTF">2026-03-31T08:17:00Z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2025-03-25T11:34:47Z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b801f6d1-a9b6-4c92-aaf1-45770b5eb086</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Order">
    <vt:r8>3200500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