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6415" w:rsidP="007520FF" w:rsidRDefault="00386415" w14:paraId="45DBA77C" w14:textId="77777777">
      <w:pPr>
        <w:spacing w:before="0" w:after="360" w:line="259" w:lineRule="auto"/>
        <w:jc w:val="center"/>
        <w:rPr>
          <w:rFonts w:asciiTheme="minorHAnsi" w:hAnsiTheme="minorHAnsi" w:eastAsiaTheme="minorHAnsi" w:cstheme="minorBidi"/>
          <w:iCs w:val="0"/>
          <w:color w:val="61207F"/>
          <w:sz w:val="72"/>
          <w:szCs w:val="72"/>
          <w:lang w:eastAsia="en-US"/>
        </w:rPr>
      </w:pPr>
      <w:bookmarkStart w:name="_Toc86162826" w:id="0"/>
      <w:bookmarkStart w:name="_Toc110255233" w:id="1"/>
      <w:bookmarkStart w:name="_Toc110352041" w:id="2"/>
      <w:bookmarkStart w:name="_Toc110352066" w:id="3"/>
      <w:bookmarkStart w:name="_Toc110352131" w:id="4"/>
      <w:bookmarkStart w:name="_Toc16078775" w:id="5"/>
      <w:bookmarkStart w:name="_Toc86052000" w:id="6"/>
    </w:p>
    <w:p w:rsidR="00386415" w:rsidP="007520FF" w:rsidRDefault="00386415" w14:paraId="3AE5DFB3" w14:textId="77777777">
      <w:pPr>
        <w:spacing w:before="0" w:after="360" w:line="259" w:lineRule="auto"/>
        <w:jc w:val="center"/>
        <w:rPr>
          <w:rFonts w:asciiTheme="minorHAnsi" w:hAnsiTheme="minorHAnsi" w:eastAsiaTheme="minorHAnsi" w:cstheme="minorBidi"/>
          <w:iCs w:val="0"/>
          <w:color w:val="61207F"/>
          <w:sz w:val="72"/>
          <w:szCs w:val="72"/>
          <w:lang w:eastAsia="en-US"/>
        </w:rPr>
      </w:pPr>
    </w:p>
    <w:p w:rsidRPr="007520FF" w:rsidR="003677AB" w:rsidP="007520FF" w:rsidRDefault="007B6D2D" w14:paraId="25E9A650" w14:textId="16B50DFA">
      <w:pPr>
        <w:spacing w:before="0" w:after="360" w:line="259" w:lineRule="auto"/>
        <w:jc w:val="center"/>
        <w:rPr>
          <w:rFonts w:asciiTheme="minorHAnsi" w:hAnsiTheme="minorHAnsi" w:eastAsiaTheme="minorHAnsi" w:cstheme="minorBidi"/>
          <w:iCs w:val="0"/>
          <w:color w:val="61207F"/>
          <w:sz w:val="72"/>
          <w:szCs w:val="72"/>
          <w:lang w:eastAsia="en-US"/>
        </w:rPr>
      </w:pPr>
      <w:r w:rsidRPr="007520FF">
        <w:rPr>
          <w:rFonts w:asciiTheme="minorHAnsi" w:hAnsiTheme="minorHAnsi" w:eastAsiaTheme="minorHAnsi" w:cstheme="minorBidi"/>
          <w:iCs w:val="0"/>
          <w:color w:val="61207F"/>
          <w:sz w:val="72"/>
          <w:szCs w:val="72"/>
          <w:lang w:eastAsia="en-US"/>
        </w:rPr>
        <w:t xml:space="preserve">Cambridgeshire Pension </w:t>
      </w:r>
      <w:r w:rsidRPr="007520FF" w:rsidR="003677AB">
        <w:rPr>
          <w:rFonts w:asciiTheme="minorHAnsi" w:hAnsiTheme="minorHAnsi" w:eastAsiaTheme="minorHAnsi" w:cstheme="minorBidi"/>
          <w:iCs w:val="0"/>
          <w:color w:val="61207F"/>
          <w:sz w:val="72"/>
          <w:szCs w:val="72"/>
          <w:lang w:eastAsia="en-US"/>
        </w:rPr>
        <w:t>Fund</w:t>
      </w:r>
      <w:bookmarkEnd w:id="0"/>
      <w:bookmarkEnd w:id="1"/>
      <w:bookmarkEnd w:id="2"/>
      <w:bookmarkEnd w:id="3"/>
      <w:bookmarkEnd w:id="4"/>
    </w:p>
    <w:p w:rsidRPr="007520FF" w:rsidR="008C417D" w:rsidP="007520FF" w:rsidRDefault="00432A05" w14:paraId="0F9E231B" w14:textId="5F70D3BF">
      <w:pPr>
        <w:spacing w:before="0" w:after="360" w:line="259" w:lineRule="auto"/>
        <w:jc w:val="center"/>
        <w:rPr>
          <w:rFonts w:asciiTheme="minorHAnsi" w:hAnsiTheme="minorHAnsi" w:eastAsiaTheme="minorHAnsi" w:cstheme="minorBidi"/>
          <w:iCs w:val="0"/>
          <w:color w:val="61207F"/>
          <w:sz w:val="72"/>
          <w:szCs w:val="72"/>
          <w:lang w:eastAsia="en-US"/>
        </w:rPr>
      </w:pPr>
      <w:bookmarkStart w:name="_Cessation_policy" w:id="7"/>
      <w:bookmarkEnd w:id="7"/>
      <w:r w:rsidRPr="007520FF">
        <w:rPr>
          <w:rFonts w:asciiTheme="minorHAnsi" w:hAnsiTheme="minorHAnsi" w:eastAsiaTheme="minorHAnsi" w:cstheme="minorBidi"/>
          <w:iCs w:val="0"/>
          <w:color w:val="61207F"/>
          <w:sz w:val="72"/>
          <w:szCs w:val="72"/>
          <w:lang w:eastAsia="en-US"/>
        </w:rPr>
        <w:t>Policy on a</w:t>
      </w:r>
      <w:r w:rsidRPr="007520FF" w:rsidR="00671A7E">
        <w:rPr>
          <w:rFonts w:asciiTheme="minorHAnsi" w:hAnsiTheme="minorHAnsi" w:eastAsiaTheme="minorHAnsi" w:cstheme="minorBidi"/>
          <w:iCs w:val="0"/>
          <w:color w:val="61207F"/>
          <w:sz w:val="72"/>
          <w:szCs w:val="72"/>
          <w:lang w:eastAsia="en-US"/>
        </w:rPr>
        <w:t>cadem</w:t>
      </w:r>
      <w:r w:rsidRPr="007520FF">
        <w:rPr>
          <w:rFonts w:asciiTheme="minorHAnsi" w:hAnsiTheme="minorHAnsi" w:eastAsiaTheme="minorHAnsi" w:cstheme="minorBidi"/>
          <w:iCs w:val="0"/>
          <w:color w:val="61207F"/>
          <w:sz w:val="72"/>
          <w:szCs w:val="72"/>
          <w:lang w:eastAsia="en-US"/>
        </w:rPr>
        <w:t>y funding</w:t>
      </w:r>
    </w:p>
    <w:p w:rsidR="008C417D" w:rsidRDefault="008C417D" w14:paraId="06781FC8" w14:textId="77777777">
      <w:pPr>
        <w:spacing w:after="20" w:line="240" w:lineRule="auto"/>
        <w:jc w:val="left"/>
        <w:rPr>
          <w:rFonts w:asciiTheme="minorHAnsi" w:hAnsiTheme="minorHAnsi" w:cstheme="minorHAnsi"/>
          <w:b/>
          <w:iCs w:val="0"/>
          <w:color w:val="646464" w:themeColor="accent5"/>
          <w:kern w:val="28"/>
          <w:sz w:val="24"/>
          <w:lang w:eastAsia="en-US"/>
        </w:rPr>
      </w:pPr>
      <w:r>
        <w:rPr>
          <w:rFonts w:cstheme="minorHAnsi"/>
          <w:color w:val="646464" w:themeColor="accent5"/>
        </w:rPr>
        <w:br w:type="page"/>
      </w:r>
    </w:p>
    <w:p w:rsidRPr="008C417D" w:rsidR="00654BB3" w:rsidP="00654BB3" w:rsidRDefault="00654BB3" w14:paraId="696F978C" w14:textId="77777777">
      <w:pPr>
        <w:pStyle w:val="Heading1Num"/>
        <w:numPr>
          <w:ilvl w:val="0"/>
          <w:numId w:val="28"/>
        </w:numPr>
        <w:tabs>
          <w:tab w:val="clear" w:pos="567"/>
          <w:tab w:val="num" w:pos="360"/>
        </w:tabs>
        <w:rPr>
          <w:rFonts w:cstheme="minorHAnsi"/>
        </w:rPr>
      </w:pPr>
      <w:bookmarkStart w:name="_Toc112068215" w:id="8"/>
      <w:r w:rsidRPr="008C417D">
        <w:rPr>
          <w:rFonts w:cstheme="minorHAnsi"/>
        </w:rPr>
        <w:lastRenderedPageBreak/>
        <w:t>Introduction</w:t>
      </w:r>
      <w:bookmarkEnd w:id="8"/>
    </w:p>
    <w:p w:rsidRPr="008C417D" w:rsidR="00654BB3" w:rsidP="00654BB3" w:rsidRDefault="00654BB3" w14:paraId="7915B22B" w14:textId="7930B75C">
      <w:pPr>
        <w:pStyle w:val="BodyTextGrey"/>
        <w:rPr>
          <w:rFonts w:asciiTheme="minorHAnsi" w:hAnsiTheme="minorHAnsi" w:cstheme="minorHAnsi"/>
        </w:rPr>
      </w:pPr>
      <w:r w:rsidRPr="008C417D">
        <w:rPr>
          <w:rFonts w:asciiTheme="minorHAnsi" w:hAnsiTheme="minorHAnsi" w:cstheme="minorHAnsi"/>
        </w:rPr>
        <w:t xml:space="preserve">The purpose of this policy is to set out the </w:t>
      </w:r>
      <w:r w:rsidRPr="008C417D" w:rsidR="00432A05">
        <w:rPr>
          <w:rFonts w:asciiTheme="minorHAnsi" w:hAnsiTheme="minorHAnsi" w:cstheme="minorHAnsi"/>
        </w:rPr>
        <w:t>a</w:t>
      </w:r>
      <w:r w:rsidRPr="008C417D">
        <w:rPr>
          <w:rFonts w:asciiTheme="minorHAnsi" w:hAnsiTheme="minorHAnsi" w:cstheme="minorHAnsi"/>
        </w:rPr>
        <w:t xml:space="preserve">dministering </w:t>
      </w:r>
      <w:r w:rsidRPr="008C417D" w:rsidR="00432A05">
        <w:rPr>
          <w:rFonts w:asciiTheme="minorHAnsi" w:hAnsiTheme="minorHAnsi" w:cstheme="minorHAnsi"/>
        </w:rPr>
        <w:t>a</w:t>
      </w:r>
      <w:r w:rsidRPr="008C417D">
        <w:rPr>
          <w:rFonts w:asciiTheme="minorHAnsi" w:hAnsiTheme="minorHAnsi" w:cstheme="minorHAnsi"/>
        </w:rPr>
        <w:t>uthority’s funding principles relating to academies and Multi-Academy Trusts (MATs).</w:t>
      </w:r>
    </w:p>
    <w:p w:rsidRPr="008C417D" w:rsidR="00654BB3" w:rsidP="00654BB3" w:rsidRDefault="00654BB3" w14:paraId="5061136E" w14:textId="77777777">
      <w:pPr>
        <w:pStyle w:val="Heading2Num"/>
        <w:numPr>
          <w:ilvl w:val="1"/>
          <w:numId w:val="1"/>
        </w:numPr>
        <w:rPr>
          <w:rFonts w:cstheme="minorHAnsi"/>
        </w:rPr>
      </w:pPr>
      <w:r w:rsidRPr="008C417D">
        <w:rPr>
          <w:rFonts w:cstheme="minorHAnsi"/>
        </w:rPr>
        <w:t>Aims and Objectives</w:t>
      </w:r>
    </w:p>
    <w:p w:rsidRPr="008C417D" w:rsidR="00654BB3" w:rsidP="00654BB3" w:rsidRDefault="00654BB3" w14:paraId="37334DE2" w14:textId="14D9E242">
      <w:pPr>
        <w:pStyle w:val="BodyTextGrey"/>
        <w:rPr>
          <w:rFonts w:asciiTheme="minorHAnsi" w:hAnsiTheme="minorHAnsi" w:cstheme="minorHAnsi"/>
        </w:rPr>
      </w:pPr>
      <w:r w:rsidRPr="008C417D">
        <w:rPr>
          <w:rFonts w:asciiTheme="minorHAnsi" w:hAnsiTheme="minorHAnsi" w:cstheme="minorHAnsi"/>
        </w:rPr>
        <w:t xml:space="preserve">The </w:t>
      </w:r>
      <w:r w:rsidRPr="008C417D" w:rsidR="00432A05">
        <w:rPr>
          <w:rFonts w:asciiTheme="minorHAnsi" w:hAnsiTheme="minorHAnsi" w:cstheme="minorHAnsi"/>
        </w:rPr>
        <w:t>a</w:t>
      </w:r>
      <w:r w:rsidRPr="008C417D">
        <w:rPr>
          <w:rFonts w:asciiTheme="minorHAnsi" w:hAnsiTheme="minorHAnsi" w:cstheme="minorHAnsi"/>
        </w:rPr>
        <w:t xml:space="preserve">dministering </w:t>
      </w:r>
      <w:r w:rsidRPr="008C417D" w:rsidR="00432A05">
        <w:rPr>
          <w:rFonts w:asciiTheme="minorHAnsi" w:hAnsiTheme="minorHAnsi" w:cstheme="minorHAnsi"/>
        </w:rPr>
        <w:t>a</w:t>
      </w:r>
      <w:r w:rsidRPr="008C417D">
        <w:rPr>
          <w:rFonts w:asciiTheme="minorHAnsi" w:hAnsiTheme="minorHAnsi" w:cstheme="minorHAnsi"/>
        </w:rPr>
        <w:t>uthority’s objectives related to this policy are as follows:</w:t>
      </w:r>
    </w:p>
    <w:p w:rsidRPr="008C417D" w:rsidR="00654BB3" w:rsidP="00654BB3" w:rsidRDefault="00654BB3" w14:paraId="463FB8A8" w14:textId="68C0F71B">
      <w:pPr>
        <w:pStyle w:val="BodyTextGrey"/>
        <w:numPr>
          <w:ilvl w:val="0"/>
          <w:numId w:val="20"/>
        </w:numPr>
        <w:rPr>
          <w:rFonts w:asciiTheme="minorHAnsi" w:hAnsiTheme="minorHAnsi" w:cstheme="minorHAnsi"/>
        </w:rPr>
      </w:pPr>
      <w:r w:rsidRPr="008C417D">
        <w:rPr>
          <w:rFonts w:asciiTheme="minorHAnsi" w:hAnsiTheme="minorHAnsi" w:cstheme="minorHAnsi"/>
        </w:rPr>
        <w:t xml:space="preserve">to state the approach for the treatment and valuation of academy liabilities and asset shares </w:t>
      </w:r>
      <w:r w:rsidRPr="008C417D" w:rsidR="00C3022F">
        <w:rPr>
          <w:rFonts w:asciiTheme="minorHAnsi" w:hAnsiTheme="minorHAnsi" w:cstheme="minorHAnsi"/>
        </w:rPr>
        <w:t xml:space="preserve">on </w:t>
      </w:r>
      <w:r w:rsidRPr="008C417D">
        <w:rPr>
          <w:rFonts w:asciiTheme="minorHAnsi" w:hAnsiTheme="minorHAnsi" w:cstheme="minorHAnsi"/>
        </w:rPr>
        <w:t xml:space="preserve">conversion </w:t>
      </w:r>
      <w:r w:rsidRPr="008C417D" w:rsidR="00C3022F">
        <w:rPr>
          <w:rFonts w:asciiTheme="minorHAnsi" w:hAnsiTheme="minorHAnsi" w:cstheme="minorHAnsi"/>
        </w:rPr>
        <w:t>from a local maintained school</w:t>
      </w:r>
      <w:r w:rsidRPr="008C417D" w:rsidR="0026735E">
        <w:rPr>
          <w:rFonts w:asciiTheme="minorHAnsi" w:hAnsiTheme="minorHAnsi" w:cstheme="minorHAnsi"/>
        </w:rPr>
        <w:t xml:space="preserve">, or </w:t>
      </w:r>
      <w:r w:rsidRPr="008C417D">
        <w:rPr>
          <w:rFonts w:asciiTheme="minorHAnsi" w:hAnsiTheme="minorHAnsi" w:cstheme="minorHAnsi"/>
        </w:rPr>
        <w:t xml:space="preserve">when joining or leaving a MAT  </w:t>
      </w:r>
    </w:p>
    <w:p w:rsidRPr="008C417D" w:rsidR="00654BB3" w:rsidP="00654BB3" w:rsidRDefault="00654BB3" w14:paraId="159BF1E8" w14:textId="762D1554">
      <w:pPr>
        <w:pStyle w:val="BodyTextGrey"/>
        <w:numPr>
          <w:ilvl w:val="0"/>
          <w:numId w:val="20"/>
        </w:numPr>
        <w:rPr>
          <w:rFonts w:asciiTheme="minorHAnsi" w:hAnsiTheme="minorHAnsi" w:cstheme="minorHAnsi"/>
        </w:rPr>
      </w:pPr>
      <w:r w:rsidRPr="008C417D">
        <w:rPr>
          <w:rFonts w:asciiTheme="minorHAnsi" w:hAnsiTheme="minorHAnsi" w:cstheme="minorHAnsi"/>
        </w:rPr>
        <w:t>to state the approach for setting contribution rates for MATs</w:t>
      </w:r>
    </w:p>
    <w:p w:rsidRPr="008C417D" w:rsidR="00E1405E" w:rsidRDefault="00E1405E" w14:paraId="3A9834A6" w14:textId="738704B2">
      <w:pPr>
        <w:pStyle w:val="BodyTextGrey"/>
        <w:numPr>
          <w:ilvl w:val="0"/>
          <w:numId w:val="20"/>
        </w:numPr>
        <w:rPr>
          <w:rFonts w:asciiTheme="minorHAnsi" w:hAnsiTheme="minorHAnsi" w:cstheme="minorHAnsi"/>
        </w:rPr>
      </w:pPr>
      <w:r w:rsidRPr="008C417D">
        <w:rPr>
          <w:rFonts w:asciiTheme="minorHAnsi" w:hAnsiTheme="minorHAnsi" w:cstheme="minorHAnsi"/>
        </w:rPr>
        <w:t xml:space="preserve">to outline the responsibilities of academies seeking to consolidate </w:t>
      </w:r>
    </w:p>
    <w:p w:rsidRPr="008C417D" w:rsidR="00654BB3" w:rsidP="00654BB3" w:rsidRDefault="00654BB3" w14:paraId="1A9C01D6" w14:textId="7B63DDDD">
      <w:pPr>
        <w:pStyle w:val="BodyTextGrey"/>
        <w:numPr>
          <w:ilvl w:val="0"/>
          <w:numId w:val="20"/>
        </w:numPr>
        <w:rPr>
          <w:rFonts w:asciiTheme="minorHAnsi" w:hAnsiTheme="minorHAnsi" w:cstheme="minorHAnsi"/>
        </w:rPr>
      </w:pPr>
      <w:r w:rsidRPr="008C417D">
        <w:rPr>
          <w:rFonts w:asciiTheme="minorHAnsi" w:hAnsiTheme="minorHAnsi" w:cstheme="minorHAnsi"/>
        </w:rPr>
        <w:t>to outline the responsibilities of academies when outsourcing</w:t>
      </w:r>
    </w:p>
    <w:p w:rsidRPr="008C417D" w:rsidR="00654BB3" w:rsidP="00654BB3" w:rsidRDefault="00654BB3" w14:paraId="6DFF3D31" w14:textId="77777777">
      <w:pPr>
        <w:pStyle w:val="Heading2Num"/>
        <w:numPr>
          <w:ilvl w:val="1"/>
          <w:numId w:val="1"/>
        </w:numPr>
        <w:rPr>
          <w:rFonts w:cstheme="minorHAnsi"/>
        </w:rPr>
      </w:pPr>
      <w:r w:rsidRPr="008C417D">
        <w:rPr>
          <w:rFonts w:cstheme="minorHAnsi"/>
        </w:rPr>
        <w:t>Background</w:t>
      </w:r>
    </w:p>
    <w:p w:rsidRPr="008C417D" w:rsidR="00654BB3" w:rsidP="00654BB3" w:rsidRDefault="00654BB3" w14:paraId="73DB6175" w14:textId="3F60FC07">
      <w:pPr>
        <w:pStyle w:val="BodyTextGrey"/>
        <w:rPr>
          <w:rFonts w:asciiTheme="minorHAnsi" w:hAnsiTheme="minorHAnsi" w:cstheme="minorHAnsi"/>
        </w:rPr>
      </w:pPr>
      <w:r w:rsidRPr="008C417D">
        <w:rPr>
          <w:rFonts w:asciiTheme="minorHAnsi" w:hAnsiTheme="minorHAnsi" w:cstheme="minorHAnsi"/>
        </w:rPr>
        <w:t xml:space="preserve">As described in Section 5.2 of the </w:t>
      </w:r>
      <w:r w:rsidRPr="008C417D" w:rsidR="00BD575D">
        <w:rPr>
          <w:rFonts w:asciiTheme="minorHAnsi" w:hAnsiTheme="minorHAnsi" w:cstheme="minorHAnsi"/>
        </w:rPr>
        <w:t>Funding Strategy Statement (</w:t>
      </w:r>
      <w:r w:rsidRPr="008C417D">
        <w:rPr>
          <w:rFonts w:asciiTheme="minorHAnsi" w:hAnsiTheme="minorHAnsi" w:cstheme="minorHAnsi"/>
        </w:rPr>
        <w:t>FSS</w:t>
      </w:r>
      <w:r w:rsidRPr="008C417D" w:rsidR="00BD575D">
        <w:rPr>
          <w:rFonts w:asciiTheme="minorHAnsi" w:hAnsiTheme="minorHAnsi" w:cstheme="minorHAnsi"/>
        </w:rPr>
        <w:t>)</w:t>
      </w:r>
      <w:r w:rsidRPr="008C417D">
        <w:rPr>
          <w:rFonts w:asciiTheme="minorHAnsi" w:hAnsiTheme="minorHAnsi" w:cstheme="minorHAnsi"/>
        </w:rPr>
        <w:t xml:space="preserve">, new academies join the </w:t>
      </w:r>
      <w:r w:rsidRPr="008C417D" w:rsidR="00432A05">
        <w:rPr>
          <w:rFonts w:asciiTheme="minorHAnsi" w:hAnsiTheme="minorHAnsi" w:cstheme="minorHAnsi"/>
        </w:rPr>
        <w:t>f</w:t>
      </w:r>
      <w:r w:rsidRPr="008C417D">
        <w:rPr>
          <w:rFonts w:asciiTheme="minorHAnsi" w:hAnsiTheme="minorHAnsi" w:cstheme="minorHAnsi"/>
        </w:rPr>
        <w:t xml:space="preserve">und on conversion from a local authority school or on creation (eg </w:t>
      </w:r>
      <w:r w:rsidRPr="008C417D" w:rsidR="00C65B39">
        <w:rPr>
          <w:rFonts w:asciiTheme="minorHAnsi" w:hAnsiTheme="minorHAnsi" w:cstheme="minorHAnsi"/>
        </w:rPr>
        <w:t xml:space="preserve">newly established academies, </w:t>
      </w:r>
      <w:r w:rsidRPr="008C417D">
        <w:rPr>
          <w:rFonts w:asciiTheme="minorHAnsi" w:hAnsiTheme="minorHAnsi" w:cstheme="minorHAnsi"/>
        </w:rPr>
        <w:t>Free Schools</w:t>
      </w:r>
      <w:r w:rsidRPr="008C417D" w:rsidR="00C65B39">
        <w:rPr>
          <w:rFonts w:asciiTheme="minorHAnsi" w:hAnsiTheme="minorHAnsi" w:cstheme="minorHAnsi"/>
        </w:rPr>
        <w:t>, etc</w:t>
      </w:r>
      <w:r w:rsidRPr="008C417D">
        <w:rPr>
          <w:rFonts w:asciiTheme="minorHAnsi" w:hAnsiTheme="minorHAnsi" w:cstheme="minorHAnsi"/>
        </w:rPr>
        <w:t>)</w:t>
      </w:r>
      <w:r w:rsidRPr="008C417D" w:rsidR="002535F9">
        <w:rPr>
          <w:rFonts w:asciiTheme="minorHAnsi" w:hAnsiTheme="minorHAnsi" w:cstheme="minorHAnsi"/>
        </w:rPr>
        <w:t xml:space="preserve">. </w:t>
      </w:r>
      <w:r w:rsidRPr="008C417D">
        <w:rPr>
          <w:rFonts w:asciiTheme="minorHAnsi" w:hAnsiTheme="minorHAnsi" w:cstheme="minorHAnsi"/>
        </w:rPr>
        <w:t xml:space="preserve">Upon joining the fund, </w:t>
      </w:r>
      <w:r w:rsidRPr="008C417D" w:rsidR="00741372">
        <w:rPr>
          <w:rFonts w:asciiTheme="minorHAnsi" w:hAnsiTheme="minorHAnsi" w:cstheme="minorHAnsi"/>
        </w:rPr>
        <w:t xml:space="preserve">for funding purposes, </w:t>
      </w:r>
      <w:r w:rsidRPr="008C417D">
        <w:rPr>
          <w:rFonts w:asciiTheme="minorHAnsi" w:hAnsiTheme="minorHAnsi" w:cstheme="minorHAnsi"/>
        </w:rPr>
        <w:t>academies may become stand-alone employers or may join an existing MAT</w:t>
      </w:r>
      <w:r w:rsidRPr="008C417D" w:rsidR="002535F9">
        <w:rPr>
          <w:rFonts w:asciiTheme="minorHAnsi" w:hAnsiTheme="minorHAnsi" w:cstheme="minorHAnsi"/>
        </w:rPr>
        <w:t xml:space="preserve">. </w:t>
      </w:r>
    </w:p>
    <w:p w:rsidRPr="008C417D" w:rsidR="00654BB3" w:rsidP="00654BB3" w:rsidRDefault="00654BB3" w14:paraId="4236ABA2" w14:textId="29A21876">
      <w:pPr>
        <w:pStyle w:val="BodyTextGrey"/>
        <w:rPr>
          <w:rFonts w:asciiTheme="minorHAnsi" w:hAnsiTheme="minorHAnsi" w:cstheme="minorHAnsi"/>
        </w:rPr>
      </w:pPr>
      <w:r w:rsidRPr="008C417D">
        <w:rPr>
          <w:rFonts w:asciiTheme="minorHAnsi" w:hAnsiTheme="minorHAnsi" w:cstheme="minorHAnsi"/>
        </w:rPr>
        <w:t xml:space="preserve">Funding policy relating to academies and MATs is largely at the fund’s discretion, however guidance on how the fund will apply this discretion is set out within this policy. </w:t>
      </w:r>
    </w:p>
    <w:p w:rsidRPr="008C417D" w:rsidR="00654BB3" w:rsidP="70BDB1B7" w:rsidRDefault="00654BB3" w14:paraId="46632F82" w14:textId="77777777">
      <w:pPr>
        <w:pStyle w:val="Heading2Num"/>
        <w:rPr>
          <w:rFonts w:cstheme="minorHAnsi"/>
        </w:rPr>
      </w:pPr>
      <w:r w:rsidRPr="008C417D">
        <w:rPr>
          <w:rFonts w:cstheme="minorHAnsi"/>
        </w:rPr>
        <w:t xml:space="preserve">Guidance and regulatory framework </w:t>
      </w:r>
    </w:p>
    <w:p w:rsidRPr="008C417D" w:rsidR="00654BB3" w:rsidP="00654BB3" w:rsidRDefault="00654BB3" w14:paraId="662256E8" w14:textId="7A043A46">
      <w:pPr>
        <w:pStyle w:val="BodyTextGrey"/>
        <w:rPr>
          <w:rFonts w:asciiTheme="minorHAnsi" w:hAnsiTheme="minorHAnsi" w:cstheme="minorHAnsi"/>
        </w:rPr>
      </w:pPr>
      <w:r w:rsidRPr="008C417D">
        <w:rPr>
          <w:rFonts w:asciiTheme="minorHAnsi" w:hAnsiTheme="minorHAnsi" w:cstheme="minorHAnsi"/>
        </w:rPr>
        <w:t>The Local Government Pension Scheme Regulations 2013 (as amended) contains general guidance on Scheme employers’ participation within the fund which may be relevant but is not specific to academies.</w:t>
      </w:r>
    </w:p>
    <w:p w:rsidRPr="008C417D" w:rsidR="009D5689" w:rsidP="00654BB3" w:rsidRDefault="00F925D3" w14:paraId="0F3C7DF4" w14:textId="483D9B01">
      <w:pPr>
        <w:pStyle w:val="BodyTextGrey"/>
        <w:rPr>
          <w:rFonts w:asciiTheme="minorHAnsi" w:hAnsiTheme="minorHAnsi" w:cstheme="minorHAnsi"/>
        </w:rPr>
      </w:pPr>
      <w:r w:rsidRPr="008C417D">
        <w:rPr>
          <w:rFonts w:asciiTheme="minorHAnsi" w:hAnsiTheme="minorHAnsi" w:cstheme="minorHAnsi"/>
        </w:rPr>
        <w:t>T</w:t>
      </w:r>
      <w:r w:rsidRPr="008C417D" w:rsidR="00BA5AF3">
        <w:rPr>
          <w:rFonts w:asciiTheme="minorHAnsi" w:hAnsiTheme="minorHAnsi" w:cstheme="minorHAnsi"/>
        </w:rPr>
        <w:t>he</w:t>
      </w:r>
      <w:r w:rsidRPr="008C417D">
        <w:rPr>
          <w:rFonts w:asciiTheme="minorHAnsi" w:hAnsiTheme="minorHAnsi" w:cstheme="minorHAnsi"/>
        </w:rPr>
        <w:t>re is currently a</w:t>
      </w:r>
      <w:r w:rsidRPr="008C417D" w:rsidR="00BA5AF3">
        <w:rPr>
          <w:rFonts w:asciiTheme="minorHAnsi" w:hAnsiTheme="minorHAnsi" w:cstheme="minorHAnsi"/>
        </w:rPr>
        <w:t xml:space="preserve"> </w:t>
      </w:r>
      <w:hyperlink w:history="1" r:id="rId11">
        <w:r w:rsidRPr="008C417D" w:rsidR="00BA5AF3">
          <w:rPr>
            <w:rStyle w:val="Hyperlink"/>
            <w:rFonts w:asciiTheme="minorHAnsi" w:hAnsiTheme="minorHAnsi" w:cstheme="minorHAnsi"/>
          </w:rPr>
          <w:t xml:space="preserve">written ministerial guarantee of </w:t>
        </w:r>
        <w:r w:rsidRPr="008C417D">
          <w:rPr>
            <w:rStyle w:val="Hyperlink"/>
            <w:rFonts w:asciiTheme="minorHAnsi" w:hAnsiTheme="minorHAnsi" w:cstheme="minorHAnsi"/>
          </w:rPr>
          <w:t xml:space="preserve">academy </w:t>
        </w:r>
        <w:r w:rsidRPr="008C417D" w:rsidR="00BA5AF3">
          <w:rPr>
            <w:rStyle w:val="Hyperlink"/>
            <w:rFonts w:asciiTheme="minorHAnsi" w:hAnsiTheme="minorHAnsi" w:cstheme="minorHAnsi"/>
          </w:rPr>
          <w:t>LGPS liabilities</w:t>
        </w:r>
      </w:hyperlink>
      <w:r w:rsidRPr="008C417D">
        <w:rPr>
          <w:rFonts w:asciiTheme="minorHAnsi" w:hAnsiTheme="minorHAnsi" w:cstheme="minorHAnsi"/>
        </w:rPr>
        <w:t xml:space="preserve">, which was </w:t>
      </w:r>
      <w:hyperlink w:history="1" r:id="rId12">
        <w:r w:rsidRPr="008C417D">
          <w:rPr>
            <w:rStyle w:val="Hyperlink"/>
            <w:rFonts w:asciiTheme="minorHAnsi" w:hAnsiTheme="minorHAnsi" w:cstheme="minorHAnsi"/>
          </w:rPr>
          <w:t>reviewed</w:t>
        </w:r>
      </w:hyperlink>
      <w:r w:rsidRPr="008C417D">
        <w:rPr>
          <w:rFonts w:asciiTheme="minorHAnsi" w:hAnsiTheme="minorHAnsi" w:cstheme="minorHAnsi"/>
        </w:rPr>
        <w:t xml:space="preserve"> in 2022</w:t>
      </w:r>
      <w:r w:rsidRPr="008C417D" w:rsidR="00BA5AF3">
        <w:rPr>
          <w:rFonts w:asciiTheme="minorHAnsi" w:hAnsiTheme="minorHAnsi" w:cstheme="minorHAnsi"/>
        </w:rPr>
        <w:t>.</w:t>
      </w:r>
    </w:p>
    <w:p w:rsidRPr="008C417D" w:rsidR="00F925D3" w:rsidP="00654BB3" w:rsidRDefault="00F925D3" w14:paraId="7E704037" w14:textId="60FC6595">
      <w:pPr>
        <w:pStyle w:val="BodyTextGrey"/>
        <w:rPr>
          <w:rFonts w:asciiTheme="minorHAnsi" w:hAnsiTheme="minorHAnsi" w:cstheme="minorHAnsi"/>
        </w:rPr>
      </w:pPr>
      <w:r w:rsidRPr="008C417D">
        <w:rPr>
          <w:rFonts w:asciiTheme="minorHAnsi" w:hAnsiTheme="minorHAnsi" w:cstheme="minorHAnsi"/>
        </w:rPr>
        <w:t xml:space="preserve">Academy guidance from the Department for Education </w:t>
      </w:r>
      <w:r w:rsidRPr="008C417D" w:rsidR="00ED4BB9">
        <w:rPr>
          <w:rFonts w:asciiTheme="minorHAnsi" w:hAnsiTheme="minorHAnsi" w:cstheme="minorHAnsi"/>
        </w:rPr>
        <w:t xml:space="preserve">(DfE) </w:t>
      </w:r>
      <w:r w:rsidRPr="008C417D">
        <w:rPr>
          <w:rFonts w:asciiTheme="minorHAnsi" w:hAnsiTheme="minorHAnsi" w:cstheme="minorHAnsi"/>
        </w:rPr>
        <w:t xml:space="preserve">and the </w:t>
      </w:r>
      <w:r w:rsidRPr="008C417D" w:rsidR="00604C72">
        <w:rPr>
          <w:rFonts w:asciiTheme="minorHAnsi" w:hAnsiTheme="minorHAnsi" w:cstheme="minorHAnsi"/>
        </w:rPr>
        <w:t>Ministry of</w:t>
      </w:r>
      <w:r w:rsidRPr="008C417D">
        <w:rPr>
          <w:rFonts w:asciiTheme="minorHAnsi" w:hAnsiTheme="minorHAnsi" w:cstheme="minorHAnsi"/>
        </w:rPr>
        <w:t xml:space="preserve"> Housing</w:t>
      </w:r>
      <w:r w:rsidRPr="008C417D" w:rsidR="00604C72">
        <w:rPr>
          <w:rFonts w:asciiTheme="minorHAnsi" w:hAnsiTheme="minorHAnsi" w:cstheme="minorHAnsi"/>
        </w:rPr>
        <w:t>,</w:t>
      </w:r>
      <w:r w:rsidRPr="008C417D">
        <w:rPr>
          <w:rFonts w:asciiTheme="minorHAnsi" w:hAnsiTheme="minorHAnsi" w:cstheme="minorHAnsi"/>
        </w:rPr>
        <w:t xml:space="preserve"> Communities </w:t>
      </w:r>
      <w:r w:rsidRPr="008C417D" w:rsidR="00604C72">
        <w:rPr>
          <w:rFonts w:asciiTheme="minorHAnsi" w:hAnsiTheme="minorHAnsi" w:cstheme="minorHAnsi"/>
        </w:rPr>
        <w:t>&amp; Local Gov</w:t>
      </w:r>
      <w:r w:rsidRPr="008C417D" w:rsidR="00ED4BB9">
        <w:rPr>
          <w:rFonts w:asciiTheme="minorHAnsi" w:hAnsiTheme="minorHAnsi" w:cstheme="minorHAnsi"/>
        </w:rPr>
        <w:t xml:space="preserve">ernment (MHCLG) </w:t>
      </w:r>
      <w:r w:rsidRPr="008C417D">
        <w:rPr>
          <w:rFonts w:asciiTheme="minorHAnsi" w:hAnsiTheme="minorHAnsi" w:cstheme="minorHAnsi"/>
        </w:rPr>
        <w:t>may also be relevant</w:t>
      </w:r>
      <w:r w:rsidRPr="008C417D" w:rsidR="002535F9">
        <w:rPr>
          <w:rFonts w:asciiTheme="minorHAnsi" w:hAnsiTheme="minorHAnsi" w:cstheme="minorHAnsi"/>
        </w:rPr>
        <w:t xml:space="preserve">. </w:t>
      </w:r>
    </w:p>
    <w:p w:rsidRPr="008C417D" w:rsidR="2DA56A6C" w:rsidP="70BDB1B7" w:rsidRDefault="2DA56A6C" w14:paraId="769E1EF3" w14:textId="21407283">
      <w:pPr>
        <w:pStyle w:val="Heading2Num"/>
        <w:numPr>
          <w:ilvl w:val="0"/>
          <w:numId w:val="0"/>
        </w:numPr>
        <w:ind w:left="567" w:hanging="567"/>
        <w:rPr>
          <w:rFonts w:cstheme="minorHAnsi"/>
        </w:rPr>
      </w:pPr>
      <w:r w:rsidRPr="008C417D">
        <w:rPr>
          <w:rFonts w:cstheme="minorHAnsi"/>
        </w:rPr>
        <w:t>1.4</w:t>
      </w:r>
      <w:r w:rsidRPr="008C417D">
        <w:rPr>
          <w:rFonts w:cstheme="minorHAnsi"/>
        </w:rPr>
        <w:tab/>
      </w:r>
      <w:r w:rsidRPr="008C417D" w:rsidR="3A453EBB">
        <w:rPr>
          <w:rFonts w:cstheme="minorHAnsi"/>
        </w:rPr>
        <w:t>Effective date and review</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300"/>
        <w:gridCol w:w="3300"/>
        <w:gridCol w:w="3300"/>
      </w:tblGrid>
      <w:tr w:rsidRPr="008C417D" w:rsidR="70BDB1B7" w:rsidTr="70BDB1B7" w14:paraId="3AB597E0" w14:textId="77777777">
        <w:trPr>
          <w:trHeight w:val="300"/>
        </w:trPr>
        <w:tc>
          <w:tcPr>
            <w:tcW w:w="3300" w:type="dxa"/>
            <w:tcBorders>
              <w:top w:val="single" w:color="auto" w:sz="6" w:space="0"/>
              <w:left w:val="single" w:color="auto" w:sz="6" w:space="0"/>
              <w:bottom w:val="single" w:color="auto" w:sz="6" w:space="0"/>
              <w:right w:val="single" w:color="auto" w:sz="6" w:space="0"/>
            </w:tcBorders>
            <w:shd w:val="clear" w:color="auto" w:fill="2F5496"/>
            <w:tcMar>
              <w:left w:w="105" w:type="dxa"/>
              <w:right w:w="105" w:type="dxa"/>
            </w:tcMar>
          </w:tcPr>
          <w:p w:rsidRPr="008C417D" w:rsidR="70BDB1B7" w:rsidP="70BDB1B7" w:rsidRDefault="70BDB1B7" w14:paraId="5E7B2BA0" w14:textId="530265E0">
            <w:pPr>
              <w:spacing w:after="200"/>
              <w:rPr>
                <w:rFonts w:eastAsia="Calibri" w:asciiTheme="minorHAnsi" w:hAnsiTheme="minorHAnsi" w:cstheme="minorHAnsi"/>
                <w:iCs w:val="0"/>
                <w:color w:val="FFFFFF" w:themeColor="background2"/>
                <w:sz w:val="22"/>
                <w:szCs w:val="22"/>
              </w:rPr>
            </w:pPr>
            <w:r w:rsidRPr="008C417D">
              <w:rPr>
                <w:rFonts w:eastAsia="Calibri" w:asciiTheme="minorHAnsi" w:hAnsiTheme="minorHAnsi" w:cstheme="minorHAnsi"/>
                <w:iCs w:val="0"/>
                <w:color w:val="FFFFFF" w:themeColor="background2"/>
                <w:sz w:val="22"/>
                <w:szCs w:val="22"/>
              </w:rPr>
              <w:t>Date of review</w:t>
            </w:r>
          </w:p>
        </w:tc>
        <w:tc>
          <w:tcPr>
            <w:tcW w:w="3300" w:type="dxa"/>
            <w:tcBorders>
              <w:top w:val="single" w:color="auto" w:sz="6" w:space="0"/>
              <w:left w:val="single" w:color="auto" w:sz="6" w:space="0"/>
              <w:bottom w:val="single" w:color="auto" w:sz="6" w:space="0"/>
              <w:right w:val="single" w:color="auto" w:sz="6" w:space="0"/>
            </w:tcBorders>
            <w:shd w:val="clear" w:color="auto" w:fill="2F5496"/>
            <w:tcMar>
              <w:left w:w="105" w:type="dxa"/>
              <w:right w:w="105" w:type="dxa"/>
            </w:tcMar>
          </w:tcPr>
          <w:p w:rsidRPr="008C417D" w:rsidR="70BDB1B7" w:rsidP="70BDB1B7" w:rsidRDefault="70BDB1B7" w14:paraId="737D01C3" w14:textId="18E65F43">
            <w:pPr>
              <w:spacing w:after="200"/>
              <w:rPr>
                <w:rFonts w:eastAsia="Calibri" w:asciiTheme="minorHAnsi" w:hAnsiTheme="minorHAnsi" w:cstheme="minorHAnsi"/>
                <w:iCs w:val="0"/>
                <w:color w:val="FFFFFF" w:themeColor="background2"/>
                <w:sz w:val="22"/>
                <w:szCs w:val="22"/>
              </w:rPr>
            </w:pPr>
            <w:r w:rsidRPr="008C417D">
              <w:rPr>
                <w:rFonts w:eastAsia="Calibri" w:asciiTheme="minorHAnsi" w:hAnsiTheme="minorHAnsi" w:cstheme="minorHAnsi"/>
                <w:iCs w:val="0"/>
                <w:color w:val="FFFFFF" w:themeColor="background2"/>
                <w:sz w:val="22"/>
                <w:szCs w:val="22"/>
              </w:rPr>
              <w:t>Policy effective date:</w:t>
            </w:r>
          </w:p>
        </w:tc>
        <w:tc>
          <w:tcPr>
            <w:tcW w:w="3300" w:type="dxa"/>
            <w:tcBorders>
              <w:top w:val="single" w:color="auto" w:sz="6" w:space="0"/>
              <w:left w:val="single" w:color="auto" w:sz="6" w:space="0"/>
              <w:bottom w:val="single" w:color="auto" w:sz="6" w:space="0"/>
              <w:right w:val="single" w:color="auto" w:sz="6" w:space="0"/>
            </w:tcBorders>
            <w:shd w:val="clear" w:color="auto" w:fill="2F5496"/>
            <w:tcMar>
              <w:left w:w="105" w:type="dxa"/>
              <w:right w:w="105" w:type="dxa"/>
            </w:tcMar>
          </w:tcPr>
          <w:p w:rsidRPr="008C417D" w:rsidR="70BDB1B7" w:rsidP="70BDB1B7" w:rsidRDefault="70BDB1B7" w14:paraId="242F8C9D" w14:textId="754099AA">
            <w:pPr>
              <w:spacing w:after="200"/>
              <w:rPr>
                <w:rFonts w:eastAsia="Calibri" w:asciiTheme="minorHAnsi" w:hAnsiTheme="minorHAnsi" w:cstheme="minorHAnsi"/>
                <w:iCs w:val="0"/>
                <w:color w:val="FFFFFF" w:themeColor="background2"/>
                <w:sz w:val="22"/>
                <w:szCs w:val="22"/>
              </w:rPr>
            </w:pPr>
            <w:r w:rsidRPr="008C417D">
              <w:rPr>
                <w:rFonts w:eastAsia="Calibri" w:asciiTheme="minorHAnsi" w:hAnsiTheme="minorHAnsi" w:cstheme="minorHAnsi"/>
                <w:iCs w:val="0"/>
                <w:color w:val="FFFFFF" w:themeColor="background2"/>
                <w:sz w:val="22"/>
                <w:szCs w:val="22"/>
              </w:rPr>
              <w:t>Review type</w:t>
            </w:r>
          </w:p>
        </w:tc>
      </w:tr>
      <w:tr w:rsidRPr="008C417D" w:rsidR="70BDB1B7" w:rsidTr="70BDB1B7" w14:paraId="3987A006" w14:textId="77777777">
        <w:trPr>
          <w:trHeight w:val="300"/>
        </w:trPr>
        <w:tc>
          <w:tcPr>
            <w:tcW w:w="3300" w:type="dxa"/>
            <w:tcBorders>
              <w:top w:val="single" w:color="auto" w:sz="6" w:space="0"/>
              <w:left w:val="single" w:color="auto" w:sz="6" w:space="0"/>
              <w:bottom w:val="single" w:color="auto" w:sz="6" w:space="0"/>
              <w:right w:val="single" w:color="auto" w:sz="6" w:space="0"/>
            </w:tcBorders>
            <w:tcMar>
              <w:left w:w="105" w:type="dxa"/>
              <w:right w:w="105" w:type="dxa"/>
            </w:tcMar>
          </w:tcPr>
          <w:p w:rsidRPr="008C417D" w:rsidR="2B314426" w:rsidP="70BDB1B7" w:rsidRDefault="2B314426" w14:paraId="5F8FF604" w14:textId="4CE739AE">
            <w:pPr>
              <w:spacing w:after="200"/>
              <w:rPr>
                <w:rFonts w:eastAsia="Calibri" w:asciiTheme="minorHAnsi" w:hAnsiTheme="minorHAnsi" w:cstheme="minorHAnsi"/>
                <w:iCs w:val="0"/>
                <w:color w:val="000000"/>
                <w:sz w:val="22"/>
                <w:szCs w:val="22"/>
              </w:rPr>
            </w:pPr>
            <w:r w:rsidRPr="008C417D">
              <w:rPr>
                <w:rFonts w:eastAsia="Calibri" w:asciiTheme="minorHAnsi" w:hAnsiTheme="minorHAnsi" w:cstheme="minorHAnsi"/>
                <w:iCs w:val="0"/>
                <w:color w:val="000000"/>
                <w:sz w:val="22"/>
                <w:szCs w:val="22"/>
              </w:rPr>
              <w:t>September</w:t>
            </w:r>
            <w:r w:rsidRPr="008C417D" w:rsidR="70BDB1B7">
              <w:rPr>
                <w:rFonts w:eastAsia="Calibri" w:asciiTheme="minorHAnsi" w:hAnsiTheme="minorHAnsi" w:cstheme="minorHAnsi"/>
                <w:iCs w:val="0"/>
                <w:color w:val="000000"/>
                <w:sz w:val="22"/>
                <w:szCs w:val="22"/>
              </w:rPr>
              <w:t xml:space="preserve"> 2025</w:t>
            </w:r>
          </w:p>
        </w:tc>
        <w:tc>
          <w:tcPr>
            <w:tcW w:w="3300" w:type="dxa"/>
            <w:tcBorders>
              <w:top w:val="single" w:color="auto" w:sz="6" w:space="0"/>
              <w:left w:val="single" w:color="auto" w:sz="6" w:space="0"/>
              <w:bottom w:val="single" w:color="auto" w:sz="6" w:space="0"/>
              <w:right w:val="single" w:color="auto" w:sz="6" w:space="0"/>
            </w:tcBorders>
            <w:tcMar>
              <w:left w:w="105" w:type="dxa"/>
              <w:right w:w="105" w:type="dxa"/>
            </w:tcMar>
          </w:tcPr>
          <w:p w:rsidRPr="008C417D" w:rsidR="70BDB1B7" w:rsidP="70BDB1B7" w:rsidRDefault="70BDB1B7" w14:paraId="0D123056" w14:textId="22F5296E">
            <w:pPr>
              <w:spacing w:after="200"/>
              <w:rPr>
                <w:rFonts w:eastAsia="Calibri" w:asciiTheme="minorHAnsi" w:hAnsiTheme="minorHAnsi" w:cstheme="minorHAnsi"/>
                <w:iCs w:val="0"/>
                <w:color w:val="000000"/>
                <w:sz w:val="22"/>
                <w:szCs w:val="22"/>
              </w:rPr>
            </w:pPr>
            <w:r w:rsidRPr="008C417D">
              <w:rPr>
                <w:rFonts w:eastAsia="Calibri" w:asciiTheme="minorHAnsi" w:hAnsiTheme="minorHAnsi" w:cstheme="minorHAnsi"/>
                <w:iCs w:val="0"/>
                <w:color w:val="000000"/>
                <w:sz w:val="22"/>
                <w:szCs w:val="22"/>
              </w:rPr>
              <w:t>April 2026</w:t>
            </w:r>
          </w:p>
        </w:tc>
        <w:tc>
          <w:tcPr>
            <w:tcW w:w="3300" w:type="dxa"/>
            <w:tcBorders>
              <w:top w:val="single" w:color="auto" w:sz="6" w:space="0"/>
              <w:left w:val="single" w:color="auto" w:sz="6" w:space="0"/>
              <w:bottom w:val="single" w:color="auto" w:sz="6" w:space="0"/>
              <w:right w:val="single" w:color="auto" w:sz="6" w:space="0"/>
            </w:tcBorders>
            <w:tcMar>
              <w:left w:w="105" w:type="dxa"/>
              <w:right w:w="105" w:type="dxa"/>
            </w:tcMar>
          </w:tcPr>
          <w:p w:rsidRPr="008C417D" w:rsidR="70BDB1B7" w:rsidP="70BDB1B7" w:rsidRDefault="70BDB1B7" w14:paraId="5A806ABD" w14:textId="778C9413">
            <w:pPr>
              <w:spacing w:after="200"/>
              <w:rPr>
                <w:rFonts w:eastAsia="Calibri" w:asciiTheme="minorHAnsi" w:hAnsiTheme="minorHAnsi" w:cstheme="minorHAnsi"/>
                <w:iCs w:val="0"/>
                <w:color w:val="000000"/>
                <w:sz w:val="22"/>
                <w:szCs w:val="22"/>
              </w:rPr>
            </w:pPr>
            <w:r w:rsidRPr="008C417D">
              <w:rPr>
                <w:rFonts w:eastAsia="Calibri" w:asciiTheme="minorHAnsi" w:hAnsiTheme="minorHAnsi" w:cstheme="minorHAnsi"/>
                <w:iCs w:val="0"/>
                <w:color w:val="000000"/>
                <w:sz w:val="22"/>
                <w:szCs w:val="22"/>
              </w:rPr>
              <w:t>Committee</w:t>
            </w:r>
          </w:p>
        </w:tc>
      </w:tr>
    </w:tbl>
    <w:p w:rsidRPr="008C417D" w:rsidR="70BDB1B7" w:rsidP="70BDB1B7" w:rsidRDefault="70BDB1B7" w14:paraId="19FCA199" w14:textId="42CBB06A">
      <w:pPr>
        <w:pStyle w:val="BodyTextGrey"/>
        <w:rPr>
          <w:rFonts w:asciiTheme="minorHAnsi" w:hAnsiTheme="minorHAnsi" w:cstheme="minorHAnsi"/>
        </w:rPr>
      </w:pPr>
    </w:p>
    <w:p w:rsidRPr="008C417D" w:rsidR="00654BB3" w:rsidP="00654BB3" w:rsidRDefault="00654BB3" w14:paraId="4E6CE376" w14:textId="77777777">
      <w:pPr>
        <w:pStyle w:val="Heading1Num"/>
        <w:numPr>
          <w:ilvl w:val="0"/>
          <w:numId w:val="28"/>
        </w:numPr>
        <w:tabs>
          <w:tab w:val="clear" w:pos="567"/>
          <w:tab w:val="num" w:pos="360"/>
        </w:tabs>
        <w:rPr>
          <w:rFonts w:cstheme="minorHAnsi"/>
        </w:rPr>
      </w:pPr>
      <w:bookmarkStart w:name="_Toc112068216" w:id="9"/>
      <w:r w:rsidRPr="008C417D">
        <w:rPr>
          <w:rFonts w:cstheme="minorHAnsi"/>
        </w:rPr>
        <w:t>Statement of Principles</w:t>
      </w:r>
      <w:bookmarkEnd w:id="9"/>
      <w:r w:rsidRPr="008C417D">
        <w:rPr>
          <w:rFonts w:cstheme="minorHAnsi"/>
        </w:rPr>
        <w:t xml:space="preserve"> </w:t>
      </w:r>
    </w:p>
    <w:p w:rsidRPr="008C417D" w:rsidR="00654BB3" w:rsidP="00654BB3" w:rsidRDefault="00654BB3" w14:paraId="425F1643" w14:textId="08E4D071">
      <w:pPr>
        <w:pStyle w:val="BodyTextGrey"/>
        <w:rPr>
          <w:rFonts w:asciiTheme="minorHAnsi" w:hAnsiTheme="minorHAnsi" w:cstheme="minorHAnsi"/>
        </w:rPr>
      </w:pPr>
      <w:r w:rsidRPr="008C417D">
        <w:rPr>
          <w:rFonts w:asciiTheme="minorHAnsi" w:hAnsiTheme="minorHAnsi" w:cstheme="minorHAnsi"/>
        </w:rPr>
        <w:t xml:space="preserve">This Statement of Principles covers the </w:t>
      </w:r>
      <w:r w:rsidRPr="008C417D" w:rsidR="0019540C">
        <w:rPr>
          <w:rFonts w:asciiTheme="minorHAnsi" w:hAnsiTheme="minorHAnsi" w:cstheme="minorHAnsi"/>
        </w:rPr>
        <w:t>f</w:t>
      </w:r>
      <w:r w:rsidRPr="008C417D">
        <w:rPr>
          <w:rFonts w:asciiTheme="minorHAnsi" w:hAnsiTheme="minorHAnsi" w:cstheme="minorHAnsi"/>
        </w:rPr>
        <w:t>und’s approach to funding academies and MATs</w:t>
      </w:r>
      <w:r w:rsidRPr="008C417D" w:rsidR="002535F9">
        <w:rPr>
          <w:rFonts w:asciiTheme="minorHAnsi" w:hAnsiTheme="minorHAnsi" w:cstheme="minorHAnsi"/>
        </w:rPr>
        <w:t xml:space="preserve">. </w:t>
      </w:r>
      <w:r w:rsidRPr="008C417D">
        <w:rPr>
          <w:rFonts w:asciiTheme="minorHAnsi" w:hAnsiTheme="minorHAnsi" w:cstheme="minorHAnsi"/>
        </w:rPr>
        <w:t>Each case will be treated on its own merits but in general:</w:t>
      </w:r>
    </w:p>
    <w:p w:rsidRPr="008C417D" w:rsidR="00654BB3" w:rsidP="00654BB3" w:rsidRDefault="00654BB3" w14:paraId="54E5CD7F" w14:textId="2C91DA9D">
      <w:pPr>
        <w:pStyle w:val="BodyTextGrey"/>
        <w:numPr>
          <w:ilvl w:val="0"/>
          <w:numId w:val="29"/>
        </w:numPr>
        <w:rPr>
          <w:rFonts w:asciiTheme="minorHAnsi" w:hAnsiTheme="minorHAnsi" w:cstheme="minorHAnsi"/>
        </w:rPr>
      </w:pPr>
      <w:r w:rsidRPr="008C417D">
        <w:rPr>
          <w:rFonts w:asciiTheme="minorHAnsi" w:hAnsiTheme="minorHAnsi" w:cstheme="minorHAnsi"/>
        </w:rPr>
        <w:t xml:space="preserve">the fund will seek to apply a consistent approach to funding academies that achieves fairness to the ceding councils, </w:t>
      </w:r>
      <w:r w:rsidRPr="008C417D" w:rsidR="002535F9">
        <w:rPr>
          <w:rFonts w:asciiTheme="minorHAnsi" w:hAnsiTheme="minorHAnsi" w:cstheme="minorHAnsi"/>
        </w:rPr>
        <w:t>MATs,</w:t>
      </w:r>
      <w:r w:rsidRPr="008C417D">
        <w:rPr>
          <w:rFonts w:asciiTheme="minorHAnsi" w:hAnsiTheme="minorHAnsi" w:cstheme="minorHAnsi"/>
        </w:rPr>
        <w:t xml:space="preserve"> and individual academies.</w:t>
      </w:r>
    </w:p>
    <w:p w:rsidRPr="008C417D" w:rsidR="00654BB3" w:rsidP="00654BB3" w:rsidRDefault="00654BB3" w14:paraId="0F097414" w14:textId="4EB0F82F">
      <w:pPr>
        <w:pStyle w:val="BodyTextGrey"/>
        <w:numPr>
          <w:ilvl w:val="0"/>
          <w:numId w:val="29"/>
        </w:numPr>
        <w:rPr>
          <w:rFonts w:asciiTheme="minorHAnsi" w:hAnsiTheme="minorHAnsi" w:cstheme="minorHAnsi"/>
        </w:rPr>
      </w:pPr>
      <w:r w:rsidRPr="008C417D">
        <w:rPr>
          <w:rFonts w:asciiTheme="minorHAnsi" w:hAnsiTheme="minorHAnsi" w:cstheme="minorHAnsi"/>
        </w:rPr>
        <w:t>the fund’s current approach is to treat all academies within a MAT as a single employer (operating as a funding pool where all pension risks are shared).</w:t>
      </w:r>
    </w:p>
    <w:p w:rsidRPr="008C417D" w:rsidR="00654BB3" w:rsidP="00654BB3" w:rsidRDefault="00654BB3" w14:paraId="78B6EF2A" w14:textId="263C58FE">
      <w:pPr>
        <w:pStyle w:val="BodyTextGrey"/>
        <w:numPr>
          <w:ilvl w:val="0"/>
          <w:numId w:val="29"/>
        </w:numPr>
        <w:rPr>
          <w:rFonts w:asciiTheme="minorHAnsi" w:hAnsiTheme="minorHAnsi" w:cstheme="minorHAnsi"/>
        </w:rPr>
      </w:pPr>
      <w:r w:rsidRPr="008C417D">
        <w:rPr>
          <w:rFonts w:asciiTheme="minorHAnsi" w:hAnsiTheme="minorHAnsi" w:cstheme="minorHAnsi"/>
        </w:rPr>
        <w:t xml:space="preserve">academies must consult with the </w:t>
      </w:r>
      <w:r w:rsidRPr="008C417D" w:rsidR="00432A05">
        <w:rPr>
          <w:rFonts w:asciiTheme="minorHAnsi" w:hAnsiTheme="minorHAnsi" w:cstheme="minorHAnsi"/>
        </w:rPr>
        <w:t>f</w:t>
      </w:r>
      <w:r w:rsidRPr="008C417D">
        <w:rPr>
          <w:rFonts w:asciiTheme="minorHAnsi" w:hAnsiTheme="minorHAnsi" w:cstheme="minorHAnsi"/>
        </w:rPr>
        <w:t>und prior to carrying out any outsourcing activity.</w:t>
      </w:r>
    </w:p>
    <w:p w:rsidRPr="008C417D" w:rsidR="00654BB3" w:rsidP="00654BB3" w:rsidRDefault="00654BB3" w14:paraId="755A4668" w14:textId="77777777">
      <w:pPr>
        <w:pStyle w:val="Heading1Num"/>
        <w:numPr>
          <w:ilvl w:val="0"/>
          <w:numId w:val="28"/>
        </w:numPr>
        <w:tabs>
          <w:tab w:val="clear" w:pos="567"/>
          <w:tab w:val="num" w:pos="360"/>
        </w:tabs>
        <w:rPr>
          <w:rFonts w:cstheme="minorHAnsi"/>
        </w:rPr>
      </w:pPr>
      <w:bookmarkStart w:name="_Toc112068217" w:id="10"/>
      <w:r w:rsidRPr="008C417D">
        <w:rPr>
          <w:rFonts w:cstheme="minorHAnsi"/>
        </w:rPr>
        <w:lastRenderedPageBreak/>
        <w:t>Policies</w:t>
      </w:r>
      <w:bookmarkEnd w:id="10"/>
    </w:p>
    <w:p w:rsidRPr="008C417D" w:rsidR="00654BB3" w:rsidP="00654BB3" w:rsidRDefault="00654BB3" w14:paraId="234BFF6A" w14:textId="41A5A914">
      <w:pPr>
        <w:pStyle w:val="Heading2Num"/>
        <w:numPr>
          <w:ilvl w:val="1"/>
          <w:numId w:val="1"/>
        </w:numPr>
        <w:rPr>
          <w:rFonts w:cstheme="minorHAnsi"/>
        </w:rPr>
      </w:pPr>
      <w:r w:rsidRPr="008C417D">
        <w:rPr>
          <w:rFonts w:cstheme="minorHAnsi"/>
        </w:rPr>
        <w:t xml:space="preserve">Admission to the </w:t>
      </w:r>
      <w:r w:rsidRPr="008C417D" w:rsidR="0019540C">
        <w:rPr>
          <w:rFonts w:cstheme="minorHAnsi"/>
        </w:rPr>
        <w:t>f</w:t>
      </w:r>
      <w:r w:rsidRPr="008C417D">
        <w:rPr>
          <w:rFonts w:cstheme="minorHAnsi"/>
        </w:rPr>
        <w:t>und</w:t>
      </w:r>
    </w:p>
    <w:p w:rsidRPr="008C417D" w:rsidR="00654BB3" w:rsidP="00654BB3" w:rsidRDefault="00654BB3" w14:paraId="35925442" w14:textId="1AF23D0E">
      <w:pPr>
        <w:pStyle w:val="BodyTextGrey"/>
        <w:rPr>
          <w:rFonts w:asciiTheme="minorHAnsi" w:hAnsiTheme="minorHAnsi" w:cstheme="minorHAnsi"/>
        </w:rPr>
      </w:pPr>
      <w:r w:rsidRPr="008C417D">
        <w:rPr>
          <w:rFonts w:asciiTheme="minorHAnsi" w:hAnsiTheme="minorHAnsi" w:cstheme="minorHAnsi"/>
        </w:rPr>
        <w:t>As set out in section 5.2 of the FSS:</w:t>
      </w:r>
    </w:p>
    <w:p w:rsidRPr="008C417D" w:rsidR="00654BB3" w:rsidP="00654BB3" w:rsidRDefault="00654BB3" w14:paraId="49B73E25" w14:textId="77777777">
      <w:pPr>
        <w:pStyle w:val="Heading4"/>
        <w:rPr>
          <w:rFonts w:asciiTheme="minorHAnsi" w:hAnsiTheme="minorHAnsi" w:cstheme="minorHAnsi"/>
        </w:rPr>
      </w:pPr>
      <w:r w:rsidRPr="008C417D">
        <w:rPr>
          <w:rFonts w:asciiTheme="minorHAnsi" w:hAnsiTheme="minorHAnsi" w:cstheme="minorHAnsi"/>
        </w:rPr>
        <w:t>Asset allocation on conversion</w:t>
      </w:r>
    </w:p>
    <w:p w:rsidRPr="008C417D" w:rsidR="00D555FC" w:rsidP="00D555FC" w:rsidRDefault="00654BB3" w14:paraId="2418A0FA" w14:textId="04CB927F">
      <w:pPr>
        <w:pStyle w:val="BodyTextGrey"/>
        <w:rPr>
          <w:rFonts w:asciiTheme="minorHAnsi" w:hAnsiTheme="minorHAnsi" w:cstheme="minorHAnsi"/>
        </w:rPr>
      </w:pPr>
      <w:r w:rsidRPr="008C417D">
        <w:rPr>
          <w:rFonts w:asciiTheme="minorHAnsi" w:hAnsiTheme="minorHAnsi" w:cstheme="minorHAnsi"/>
        </w:rPr>
        <w:t xml:space="preserve">New academies will be allocated an asset share based on the estimated </w:t>
      </w:r>
      <w:r w:rsidRPr="008C417D" w:rsidR="00D555FC">
        <w:rPr>
          <w:rFonts w:asciiTheme="minorHAnsi" w:hAnsiTheme="minorHAnsi" w:cstheme="minorHAnsi"/>
        </w:rPr>
        <w:t>f</w:t>
      </w:r>
      <w:r w:rsidRPr="008C417D">
        <w:rPr>
          <w:rFonts w:asciiTheme="minorHAnsi" w:hAnsiTheme="minorHAnsi" w:cstheme="minorHAnsi"/>
        </w:rPr>
        <w:t>unding level of the ceding council’s active members, having first allocated the council’s assets to fully fund its deferred and pensioner members. This funding level will then be applied to the transferring liabilities to calculate the academy’s initial asset share, capped at a maximum of 100%.</w:t>
      </w:r>
      <w:r w:rsidRPr="008C417D" w:rsidR="00D555FC">
        <w:rPr>
          <w:rFonts w:asciiTheme="minorHAnsi" w:hAnsiTheme="minorHAnsi" w:cstheme="minorHAnsi"/>
        </w:rPr>
        <w:t xml:space="preserve"> The council’s estimated </w:t>
      </w:r>
      <w:r w:rsidRPr="008C417D" w:rsidR="00DD57D9">
        <w:rPr>
          <w:rFonts w:asciiTheme="minorHAnsi" w:hAnsiTheme="minorHAnsi" w:cstheme="minorHAnsi"/>
        </w:rPr>
        <w:t>f</w:t>
      </w:r>
      <w:r w:rsidRPr="008C417D" w:rsidR="00D555FC">
        <w:rPr>
          <w:rFonts w:asciiTheme="minorHAnsi" w:hAnsiTheme="minorHAnsi" w:cstheme="minorHAnsi"/>
        </w:rPr>
        <w:t xml:space="preserve">unding level will be based on market conditions on the day before conversion. </w:t>
      </w:r>
    </w:p>
    <w:p w:rsidRPr="008C417D" w:rsidR="000D68A0" w:rsidP="00654BB3" w:rsidRDefault="000D68A0" w14:paraId="03749B16" w14:textId="67CD7773">
      <w:pPr>
        <w:pStyle w:val="BodyTextGrey"/>
        <w:rPr>
          <w:rFonts w:asciiTheme="minorHAnsi" w:hAnsiTheme="minorHAnsi" w:cstheme="minorHAnsi"/>
        </w:rPr>
      </w:pPr>
      <w:r w:rsidRPr="008C417D">
        <w:rPr>
          <w:rFonts w:asciiTheme="minorHAnsi" w:hAnsiTheme="minorHAnsi" w:cstheme="minorHAnsi"/>
        </w:rPr>
        <w:t>For new academies joining a MAT, assets calculated using the approach outlined in the previous paragraph will be transferred from the ceding council to the MAT. The new academy will be allocated assets based on the funding level of the MAT pool.</w:t>
      </w:r>
    </w:p>
    <w:p w:rsidRPr="008C417D" w:rsidR="00654BB3" w:rsidP="00654BB3" w:rsidRDefault="00654BB3" w14:paraId="16C34255" w14:textId="77777777">
      <w:pPr>
        <w:pStyle w:val="Heading4"/>
        <w:rPr>
          <w:rFonts w:asciiTheme="minorHAnsi" w:hAnsiTheme="minorHAnsi" w:cstheme="minorHAnsi"/>
        </w:rPr>
      </w:pPr>
      <w:r w:rsidRPr="008C417D">
        <w:rPr>
          <w:rFonts w:asciiTheme="minorHAnsi" w:hAnsiTheme="minorHAnsi" w:cstheme="minorHAnsi"/>
        </w:rPr>
        <w:t>Contribution rate</w:t>
      </w:r>
    </w:p>
    <w:p w:rsidRPr="008C417D" w:rsidR="00654BB3" w:rsidP="00654BB3" w:rsidRDefault="00654BB3" w14:paraId="5BD472BF" w14:textId="0878A849">
      <w:pPr>
        <w:pStyle w:val="BodyTextGrey"/>
        <w:rPr>
          <w:rFonts w:asciiTheme="minorHAnsi" w:hAnsiTheme="minorHAnsi" w:cstheme="minorHAnsi"/>
        </w:rPr>
      </w:pPr>
      <w:r w:rsidRPr="008C417D">
        <w:rPr>
          <w:rFonts w:asciiTheme="minorHAnsi" w:hAnsiTheme="minorHAnsi" w:cstheme="minorHAnsi"/>
        </w:rPr>
        <w:t xml:space="preserve">New academy contribution rates are based on the current funding strategy (set out in section 2 of the FSS) and the transferring membership. If an academy is joining an existing MAT within the </w:t>
      </w:r>
      <w:r w:rsidRPr="008C417D" w:rsidR="00B02119">
        <w:rPr>
          <w:rFonts w:asciiTheme="minorHAnsi" w:hAnsiTheme="minorHAnsi" w:cstheme="minorHAnsi"/>
        </w:rPr>
        <w:t>F</w:t>
      </w:r>
      <w:r w:rsidRPr="008C417D">
        <w:rPr>
          <w:rFonts w:asciiTheme="minorHAnsi" w:hAnsiTheme="minorHAnsi" w:cstheme="minorHAnsi"/>
        </w:rPr>
        <w:t xml:space="preserve">und then it </w:t>
      </w:r>
      <w:r w:rsidRPr="008C417D" w:rsidR="007B6D2D">
        <w:rPr>
          <w:rFonts w:asciiTheme="minorHAnsi" w:hAnsiTheme="minorHAnsi" w:cstheme="minorHAnsi"/>
        </w:rPr>
        <w:t xml:space="preserve">will </w:t>
      </w:r>
      <w:r w:rsidRPr="008C417D">
        <w:rPr>
          <w:rFonts w:asciiTheme="minorHAnsi" w:hAnsiTheme="minorHAnsi" w:cstheme="minorHAnsi"/>
        </w:rPr>
        <w:t xml:space="preserve">pay the MAT </w:t>
      </w:r>
      <w:r w:rsidRPr="008C417D" w:rsidR="00077056">
        <w:rPr>
          <w:rFonts w:asciiTheme="minorHAnsi" w:hAnsiTheme="minorHAnsi" w:cstheme="minorHAnsi"/>
        </w:rPr>
        <w:t xml:space="preserve">contribution </w:t>
      </w:r>
      <w:r w:rsidRPr="008C417D">
        <w:rPr>
          <w:rFonts w:asciiTheme="minorHAnsi" w:hAnsiTheme="minorHAnsi" w:cstheme="minorHAnsi"/>
        </w:rPr>
        <w:t xml:space="preserve">rate </w:t>
      </w:r>
      <w:r w:rsidRPr="008C417D" w:rsidR="00077056">
        <w:rPr>
          <w:rFonts w:asciiTheme="minorHAnsi" w:hAnsiTheme="minorHAnsi" w:cstheme="minorHAnsi"/>
        </w:rPr>
        <w:t xml:space="preserve">(which may or may not be updated as a result - </w:t>
      </w:r>
      <w:r w:rsidRPr="008C417D">
        <w:rPr>
          <w:rFonts w:asciiTheme="minorHAnsi" w:hAnsiTheme="minorHAnsi" w:cstheme="minorHAnsi"/>
        </w:rPr>
        <w:t xml:space="preserve">see </w:t>
      </w:r>
      <w:r w:rsidRPr="008C417D" w:rsidR="00625DC3">
        <w:rPr>
          <w:rFonts w:asciiTheme="minorHAnsi" w:hAnsiTheme="minorHAnsi" w:cstheme="minorHAnsi"/>
        </w:rPr>
        <w:t>section 3.2 below)</w:t>
      </w:r>
      <w:r w:rsidRPr="008C417D">
        <w:rPr>
          <w:rFonts w:asciiTheme="minorHAnsi" w:hAnsiTheme="minorHAnsi" w:cstheme="minorHAnsi"/>
        </w:rPr>
        <w:t>.</w:t>
      </w:r>
    </w:p>
    <w:p w:rsidRPr="008C417D" w:rsidR="00654BB3" w:rsidP="00654BB3" w:rsidRDefault="00654BB3" w14:paraId="0042E840" w14:textId="20CB1813">
      <w:pPr>
        <w:pStyle w:val="Heading2Num"/>
        <w:numPr>
          <w:ilvl w:val="1"/>
          <w:numId w:val="1"/>
        </w:numPr>
        <w:rPr>
          <w:rFonts w:cstheme="minorHAnsi"/>
        </w:rPr>
      </w:pPr>
      <w:r w:rsidRPr="008C417D">
        <w:rPr>
          <w:rFonts w:cstheme="minorHAnsi"/>
        </w:rPr>
        <w:t xml:space="preserve">Multi-academy trusts </w:t>
      </w:r>
    </w:p>
    <w:p w:rsidRPr="008C417D" w:rsidR="009D5689" w:rsidP="009D5689" w:rsidRDefault="009D5689" w14:paraId="6C37AB93" w14:textId="77777777">
      <w:pPr>
        <w:pStyle w:val="Heading4"/>
        <w:rPr>
          <w:rFonts w:asciiTheme="minorHAnsi" w:hAnsiTheme="minorHAnsi" w:cstheme="minorHAnsi"/>
        </w:rPr>
      </w:pPr>
      <w:r w:rsidRPr="008C417D">
        <w:rPr>
          <w:rFonts w:asciiTheme="minorHAnsi" w:hAnsiTheme="minorHAnsi" w:cstheme="minorHAnsi"/>
        </w:rPr>
        <w:t>Asset tracking</w:t>
      </w:r>
    </w:p>
    <w:p w:rsidRPr="008C417D" w:rsidR="009D5689" w:rsidP="009D5689" w:rsidRDefault="009D5689" w14:paraId="2EBE094F" w14:textId="2E32C309">
      <w:pPr>
        <w:pStyle w:val="BodyTextGrey"/>
        <w:rPr>
          <w:rFonts w:asciiTheme="minorHAnsi" w:hAnsiTheme="minorHAnsi" w:cstheme="minorHAnsi"/>
        </w:rPr>
      </w:pPr>
      <w:r w:rsidRPr="008C417D">
        <w:rPr>
          <w:rFonts w:asciiTheme="minorHAnsi" w:hAnsiTheme="minorHAnsi" w:cstheme="minorHAnsi"/>
        </w:rPr>
        <w:t xml:space="preserve">The Fund’s current policy is to individually track the asset shares of each academy within the </w:t>
      </w:r>
      <w:r w:rsidRPr="008C417D" w:rsidR="0019540C">
        <w:rPr>
          <w:rFonts w:asciiTheme="minorHAnsi" w:hAnsiTheme="minorHAnsi" w:cstheme="minorHAnsi"/>
        </w:rPr>
        <w:t>f</w:t>
      </w:r>
      <w:r w:rsidRPr="008C417D">
        <w:rPr>
          <w:rFonts w:asciiTheme="minorHAnsi" w:hAnsiTheme="minorHAnsi" w:cstheme="minorHAnsi"/>
        </w:rPr>
        <w:t>und</w:t>
      </w:r>
      <w:r w:rsidRPr="008C417D" w:rsidR="002535F9">
        <w:rPr>
          <w:rFonts w:asciiTheme="minorHAnsi" w:hAnsiTheme="minorHAnsi" w:cstheme="minorHAnsi"/>
        </w:rPr>
        <w:t xml:space="preserve">. </w:t>
      </w:r>
      <w:r w:rsidRPr="008C417D">
        <w:rPr>
          <w:rFonts w:asciiTheme="minorHAnsi" w:hAnsiTheme="minorHAnsi" w:cstheme="minorHAnsi"/>
        </w:rPr>
        <w:t xml:space="preserve">Where a MAT exists, the individual asset shares </w:t>
      </w:r>
      <w:r w:rsidRPr="008C417D" w:rsidR="007B6D2D">
        <w:rPr>
          <w:rFonts w:asciiTheme="minorHAnsi" w:hAnsiTheme="minorHAnsi" w:cstheme="minorHAnsi"/>
        </w:rPr>
        <w:t xml:space="preserve">will </w:t>
      </w:r>
      <w:r w:rsidRPr="008C417D">
        <w:rPr>
          <w:rFonts w:asciiTheme="minorHAnsi" w:hAnsiTheme="minorHAnsi" w:cstheme="minorHAnsi"/>
        </w:rPr>
        <w:t xml:space="preserve">be pooled together to provide a pooled funding level </w:t>
      </w:r>
      <w:r w:rsidRPr="008C417D" w:rsidR="007B6D2D">
        <w:rPr>
          <w:rFonts w:asciiTheme="minorHAnsi" w:hAnsiTheme="minorHAnsi" w:cstheme="minorHAnsi"/>
        </w:rPr>
        <w:t xml:space="preserve">and for </w:t>
      </w:r>
      <w:r w:rsidRPr="008C417D">
        <w:rPr>
          <w:rFonts w:asciiTheme="minorHAnsi" w:hAnsiTheme="minorHAnsi" w:cstheme="minorHAnsi"/>
        </w:rPr>
        <w:t>setting a pooled contribution rate.</w:t>
      </w:r>
    </w:p>
    <w:p w:rsidRPr="008C417D" w:rsidR="009D5689" w:rsidP="009D5689" w:rsidRDefault="009D5689" w14:paraId="4B77EC8C" w14:textId="77777777">
      <w:pPr>
        <w:pStyle w:val="Heading4"/>
        <w:rPr>
          <w:rFonts w:asciiTheme="minorHAnsi" w:hAnsiTheme="minorHAnsi" w:cstheme="minorHAnsi"/>
        </w:rPr>
      </w:pPr>
      <w:r w:rsidRPr="008C417D">
        <w:rPr>
          <w:rFonts w:asciiTheme="minorHAnsi" w:hAnsiTheme="minorHAnsi" w:cstheme="minorHAnsi"/>
        </w:rPr>
        <w:t>Contribution rate</w:t>
      </w:r>
    </w:p>
    <w:p w:rsidRPr="008C417D" w:rsidR="009D5689" w:rsidP="009D5689" w:rsidRDefault="009D5689" w14:paraId="52BA9053" w14:textId="2E307975">
      <w:pPr>
        <w:pStyle w:val="BodyTextGrey"/>
        <w:rPr>
          <w:rFonts w:asciiTheme="minorHAnsi" w:hAnsiTheme="minorHAnsi" w:cstheme="minorHAnsi"/>
        </w:rPr>
      </w:pPr>
      <w:r w:rsidRPr="008C417D">
        <w:rPr>
          <w:rFonts w:asciiTheme="minorHAnsi" w:hAnsiTheme="minorHAnsi" w:cstheme="minorHAnsi"/>
        </w:rPr>
        <w:t xml:space="preserve">If an academy is joining an existing pooled MAT (within the </w:t>
      </w:r>
      <w:r w:rsidRPr="008C417D" w:rsidR="001E75D9">
        <w:rPr>
          <w:rFonts w:asciiTheme="minorHAnsi" w:hAnsiTheme="minorHAnsi" w:cstheme="minorHAnsi"/>
        </w:rPr>
        <w:t>f</w:t>
      </w:r>
      <w:r w:rsidRPr="008C417D">
        <w:rPr>
          <w:rFonts w:asciiTheme="minorHAnsi" w:hAnsiTheme="minorHAnsi" w:cstheme="minorHAnsi"/>
        </w:rPr>
        <w:t xml:space="preserve">und), the transferring academy will pay the certified contribution rate of the MAT it is joining. </w:t>
      </w:r>
    </w:p>
    <w:p w:rsidRPr="008C417D" w:rsidR="005B4BA4" w:rsidP="005B4BA4" w:rsidRDefault="001829C1" w14:paraId="6A2873DD" w14:textId="78562C40">
      <w:pPr>
        <w:pStyle w:val="BodyTextGrey"/>
        <w:rPr>
          <w:rFonts w:asciiTheme="minorHAnsi" w:hAnsiTheme="minorHAnsi" w:cstheme="minorHAnsi"/>
        </w:rPr>
      </w:pPr>
      <w:r w:rsidRPr="008C417D">
        <w:rPr>
          <w:rFonts w:asciiTheme="minorHAnsi" w:hAnsiTheme="minorHAnsi" w:cstheme="minorHAnsi"/>
        </w:rPr>
        <w:t xml:space="preserve">Following the transfer of assets and liabilities from an academy trust (or MAT) to or from another academy trust (or MAT), the Fund </w:t>
      </w:r>
      <w:r w:rsidRPr="008C417D" w:rsidR="005B4BA4">
        <w:rPr>
          <w:rFonts w:asciiTheme="minorHAnsi" w:hAnsiTheme="minorHAnsi" w:cstheme="minorHAnsi"/>
        </w:rPr>
        <w:t>will assess if a revision to the contribution rate may be required to allow for impact of the academy transfer.</w:t>
      </w:r>
    </w:p>
    <w:p w:rsidRPr="008C417D" w:rsidR="001829C1" w:rsidP="001829C1" w:rsidRDefault="003429B2" w14:paraId="122B2CBD" w14:textId="1C5152FF">
      <w:pPr>
        <w:pStyle w:val="BodyTextGrey"/>
        <w:rPr>
          <w:rFonts w:asciiTheme="minorHAnsi" w:hAnsiTheme="minorHAnsi" w:cstheme="minorHAnsi"/>
        </w:rPr>
      </w:pPr>
      <w:r w:rsidRPr="008C417D">
        <w:rPr>
          <w:rFonts w:asciiTheme="minorHAnsi" w:hAnsiTheme="minorHAnsi" w:cstheme="minorHAnsi"/>
        </w:rPr>
        <w:t xml:space="preserve">In making this assessment, the Fund will apply </w:t>
      </w:r>
      <w:r w:rsidRPr="008C417D" w:rsidR="00B401FF">
        <w:rPr>
          <w:rFonts w:asciiTheme="minorHAnsi" w:hAnsiTheme="minorHAnsi" w:cstheme="minorHAnsi"/>
        </w:rPr>
        <w:t xml:space="preserve">the following </w:t>
      </w:r>
      <w:r w:rsidRPr="008C417D">
        <w:rPr>
          <w:rFonts w:asciiTheme="minorHAnsi" w:hAnsiTheme="minorHAnsi" w:cstheme="minorHAnsi"/>
        </w:rPr>
        <w:t>test</w:t>
      </w:r>
      <w:r w:rsidRPr="008C417D" w:rsidR="00691CFD">
        <w:rPr>
          <w:rFonts w:asciiTheme="minorHAnsi" w:hAnsiTheme="minorHAnsi" w:cstheme="minorHAnsi"/>
        </w:rPr>
        <w:t xml:space="preserve"> to determine if the effect of the transfer is material enough to warrant a recalculation of the contribution rate payable</w:t>
      </w:r>
      <w:r w:rsidRPr="008C417D" w:rsidR="002535F9">
        <w:rPr>
          <w:rFonts w:asciiTheme="minorHAnsi" w:hAnsiTheme="minorHAnsi" w:cstheme="minorHAnsi"/>
        </w:rPr>
        <w:t xml:space="preserve">. </w:t>
      </w:r>
      <w:r w:rsidRPr="008C417D" w:rsidR="00B401FF">
        <w:rPr>
          <w:rFonts w:asciiTheme="minorHAnsi" w:hAnsiTheme="minorHAnsi" w:cstheme="minorHAnsi"/>
        </w:rPr>
        <w:t>This test varies depending on the period of time until the next triennial actuarial valuation.</w:t>
      </w:r>
    </w:p>
    <w:tbl>
      <w:tblPr>
        <w:tblStyle w:val="HymansTable2style"/>
        <w:tblW w:w="9781" w:type="dxa"/>
        <w:tblLook w:val="04A0" w:firstRow="1" w:lastRow="0" w:firstColumn="1" w:lastColumn="0" w:noHBand="0" w:noVBand="1"/>
      </w:tblPr>
      <w:tblGrid>
        <w:gridCol w:w="2835"/>
        <w:gridCol w:w="6946"/>
      </w:tblGrid>
      <w:tr w:rsidRPr="008C417D" w:rsidR="00B401FF" w:rsidTr="00B401FF" w14:paraId="30F7625D" w14:textId="77777777">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835" w:type="dxa"/>
            <w:tcBorders>
              <w:top w:val="single" w:color="455560" w:sz="4" w:space="0"/>
              <w:bottom w:val="single" w:color="455560" w:sz="4" w:space="0"/>
              <w:right w:val="single" w:color="455560" w:sz="4" w:space="0"/>
            </w:tcBorders>
            <w:vAlign w:val="center"/>
          </w:tcPr>
          <w:p w:rsidRPr="008C417D" w:rsidR="00B401FF" w:rsidP="008D07AC" w:rsidRDefault="00B401FF" w14:paraId="6522E7D6" w14:textId="77777777">
            <w:pPr>
              <w:pStyle w:val="BodyText"/>
              <w:spacing w:before="60" w:after="144" w:afterLines="60" w:line="240" w:lineRule="auto"/>
              <w:rPr>
                <w:rFonts w:asciiTheme="minorHAnsi" w:hAnsiTheme="minorHAnsi" w:cstheme="minorHAnsi"/>
                <w:color w:val="455560"/>
              </w:rPr>
            </w:pPr>
            <w:r w:rsidRPr="008C417D">
              <w:rPr>
                <w:rFonts w:asciiTheme="minorHAnsi" w:hAnsiTheme="minorHAnsi" w:cstheme="minorHAnsi"/>
                <w:color w:val="455560"/>
              </w:rPr>
              <w:t>Time until next valuation</w:t>
            </w:r>
          </w:p>
        </w:tc>
        <w:tc>
          <w:tcPr>
            <w:tcW w:w="6946" w:type="dxa"/>
            <w:tcBorders>
              <w:top w:val="single" w:color="455560" w:sz="4" w:space="0"/>
              <w:left w:val="single" w:color="455560" w:sz="4" w:space="0"/>
              <w:bottom w:val="single" w:color="455560" w:sz="4" w:space="0"/>
            </w:tcBorders>
            <w:vAlign w:val="center"/>
          </w:tcPr>
          <w:p w:rsidRPr="008C417D" w:rsidR="00B401FF" w:rsidP="008D07AC" w:rsidRDefault="00B401FF" w14:paraId="0724FC80" w14:textId="19C7F78B">
            <w:pPr>
              <w:pStyle w:val="BodyText"/>
              <w:spacing w:before="60" w:after="144" w:afterLines="6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455560"/>
              </w:rPr>
            </w:pPr>
            <w:r w:rsidRPr="008C417D">
              <w:rPr>
                <w:rFonts w:asciiTheme="minorHAnsi" w:hAnsiTheme="minorHAnsi" w:cstheme="minorHAnsi"/>
                <w:color w:val="455560"/>
              </w:rPr>
              <w:t>Materiality test</w:t>
            </w:r>
          </w:p>
        </w:tc>
      </w:tr>
      <w:tr w:rsidRPr="008C417D" w:rsidR="00B401FF" w:rsidTr="00B401FF" w14:paraId="401CBBFD" w14:textId="77777777">
        <w:trPr>
          <w:trHeight w:val="338"/>
        </w:trPr>
        <w:tc>
          <w:tcPr>
            <w:cnfStyle w:val="001000000000" w:firstRow="0" w:lastRow="0" w:firstColumn="1" w:lastColumn="0" w:oddVBand="0" w:evenVBand="0" w:oddHBand="0" w:evenHBand="0" w:firstRowFirstColumn="0" w:firstRowLastColumn="0" w:lastRowFirstColumn="0" w:lastRowLastColumn="0"/>
            <w:tcW w:w="2835" w:type="dxa"/>
            <w:tcBorders>
              <w:top w:val="single" w:color="455560" w:sz="4" w:space="0"/>
              <w:bottom w:val="dashSmallGap" w:color="auto" w:sz="4" w:space="0"/>
              <w:right w:val="single" w:color="455560" w:sz="4" w:space="0"/>
            </w:tcBorders>
            <w:vAlign w:val="center"/>
          </w:tcPr>
          <w:p w:rsidRPr="008C417D" w:rsidR="00B401FF" w:rsidP="008D07AC" w:rsidRDefault="00B401FF" w14:paraId="1D85558A" w14:textId="77777777">
            <w:pPr>
              <w:pStyle w:val="BodyText"/>
              <w:spacing w:before="60" w:after="144" w:afterLines="60" w:line="240" w:lineRule="auto"/>
              <w:rPr>
                <w:rFonts w:asciiTheme="minorHAnsi" w:hAnsiTheme="minorHAnsi" w:cstheme="minorHAnsi"/>
                <w:color w:val="455560"/>
              </w:rPr>
            </w:pPr>
            <w:r w:rsidRPr="008C417D">
              <w:rPr>
                <w:rFonts w:asciiTheme="minorHAnsi" w:hAnsiTheme="minorHAnsi" w:cstheme="minorHAnsi"/>
                <w:color w:val="455560"/>
              </w:rPr>
              <w:t>Less than one 1 year</w:t>
            </w:r>
          </w:p>
        </w:tc>
        <w:tc>
          <w:tcPr>
            <w:tcW w:w="6946" w:type="dxa"/>
            <w:tcBorders>
              <w:top w:val="single" w:color="455560" w:sz="4" w:space="0"/>
              <w:left w:val="single" w:color="455560" w:sz="4" w:space="0"/>
              <w:bottom w:val="dashSmallGap" w:color="auto" w:sz="4" w:space="0"/>
            </w:tcBorders>
            <w:vAlign w:val="center"/>
          </w:tcPr>
          <w:p w:rsidRPr="008C417D" w:rsidR="00B401FF" w:rsidP="008D07AC" w:rsidRDefault="00B401FF" w14:paraId="1F2F5B1D" w14:textId="77777777">
            <w:pPr>
              <w:pStyle w:val="ListBullet3"/>
              <w:numPr>
                <w:ilvl w:val="0"/>
                <w:numId w:val="0"/>
              </w:numPr>
              <w:spacing w:before="60" w:after="144" w:afterLines="60" w:line="240" w:lineRule="auto"/>
              <w:cnfStyle w:val="000000000000" w:firstRow="0" w:lastRow="0" w:firstColumn="0" w:lastColumn="0" w:oddVBand="0" w:evenVBand="0" w:oddHBand="0" w:evenHBand="0" w:firstRowFirstColumn="0" w:firstRowLastColumn="0" w:lastRowFirstColumn="0" w:lastRowLastColumn="0"/>
              <w:rPr>
                <w:rFonts w:cstheme="minorHAnsi"/>
                <w:color w:val="455560"/>
              </w:rPr>
            </w:pPr>
            <w:r w:rsidRPr="008C417D">
              <w:rPr>
                <w:rFonts w:cstheme="minorHAnsi"/>
                <w:color w:val="455560"/>
              </w:rPr>
              <w:t>Review rates if:</w:t>
            </w:r>
          </w:p>
          <w:p w:rsidRPr="008C417D" w:rsidR="00B401FF" w:rsidP="00B401FF" w:rsidRDefault="00B401FF" w14:paraId="76C7220D" w14:textId="77777777">
            <w:pPr>
              <w:pStyle w:val="ListBullet3"/>
              <w:numPr>
                <w:ilvl w:val="0"/>
                <w:numId w:val="37"/>
              </w:numPr>
              <w:spacing w:before="60" w:after="144" w:afterLines="60" w:line="240" w:lineRule="auto"/>
              <w:cnfStyle w:val="000000000000" w:firstRow="0" w:lastRow="0" w:firstColumn="0" w:lastColumn="0" w:oddVBand="0" w:evenVBand="0" w:oddHBand="0" w:evenHBand="0" w:firstRowFirstColumn="0" w:firstRowLastColumn="0" w:lastRowFirstColumn="0" w:lastRowLastColumn="0"/>
              <w:rPr>
                <w:rFonts w:cstheme="minorHAnsi"/>
                <w:color w:val="455560"/>
              </w:rPr>
            </w:pPr>
            <w:r w:rsidRPr="008C417D">
              <w:rPr>
                <w:rFonts w:cstheme="minorHAnsi"/>
                <w:color w:val="455560"/>
              </w:rPr>
              <w:t>The net discount rate has fallen by more than 1.5% pa since the previous valuation date.</w:t>
            </w:r>
          </w:p>
          <w:p w:rsidRPr="008C417D" w:rsidR="00B401FF" w:rsidP="008D07AC" w:rsidRDefault="00B401FF" w14:paraId="5072479B" w14:textId="77777777">
            <w:pPr>
              <w:pStyle w:val="ListBullet3"/>
              <w:numPr>
                <w:ilvl w:val="0"/>
                <w:numId w:val="0"/>
              </w:numPr>
              <w:spacing w:before="60" w:after="144" w:afterLines="60" w:line="240" w:lineRule="auto"/>
              <w:ind w:left="420"/>
              <w:cnfStyle w:val="000000000000" w:firstRow="0" w:lastRow="0" w:firstColumn="0" w:lastColumn="0" w:oddVBand="0" w:evenVBand="0" w:oddHBand="0" w:evenHBand="0" w:firstRowFirstColumn="0" w:firstRowLastColumn="0" w:lastRowFirstColumn="0" w:lastRowLastColumn="0"/>
              <w:rPr>
                <w:rFonts w:cstheme="minorHAnsi"/>
                <w:b/>
                <w:bCs/>
                <w:color w:val="455560"/>
              </w:rPr>
            </w:pPr>
            <w:r w:rsidRPr="008C417D">
              <w:rPr>
                <w:rFonts w:cstheme="minorHAnsi"/>
                <w:b/>
                <w:bCs/>
                <w:color w:val="455560"/>
              </w:rPr>
              <w:t>OR</w:t>
            </w:r>
          </w:p>
          <w:p w:rsidRPr="008C417D" w:rsidR="00B401FF" w:rsidP="00B401FF" w:rsidRDefault="00B401FF" w14:paraId="4B31DAF4" w14:textId="438B2654">
            <w:pPr>
              <w:pStyle w:val="ListBullet3"/>
              <w:numPr>
                <w:ilvl w:val="0"/>
                <w:numId w:val="37"/>
              </w:numPr>
              <w:spacing w:before="60" w:after="144" w:afterLines="60" w:line="240" w:lineRule="auto"/>
              <w:cnfStyle w:val="000000000000" w:firstRow="0" w:lastRow="0" w:firstColumn="0" w:lastColumn="0" w:oddVBand="0" w:evenVBand="0" w:oddHBand="0" w:evenHBand="0" w:firstRowFirstColumn="0" w:firstRowLastColumn="0" w:lastRowFirstColumn="0" w:lastRowLastColumn="0"/>
              <w:rPr>
                <w:rFonts w:cstheme="minorHAnsi"/>
                <w:color w:val="455560"/>
              </w:rPr>
            </w:pPr>
            <w:r w:rsidRPr="008C417D">
              <w:rPr>
                <w:rFonts w:cstheme="minorHAnsi"/>
                <w:color w:val="455560"/>
              </w:rPr>
              <w:t xml:space="preserve">The transferring liabilities and/or payroll is greater than 30% of the </w:t>
            </w:r>
            <w:r w:rsidRPr="008C417D" w:rsidR="0084238C">
              <w:rPr>
                <w:rFonts w:cstheme="minorHAnsi"/>
                <w:color w:val="455560"/>
              </w:rPr>
              <w:t xml:space="preserve">receiving </w:t>
            </w:r>
            <w:r w:rsidRPr="008C417D">
              <w:rPr>
                <w:rFonts w:cstheme="minorHAnsi"/>
                <w:color w:val="455560"/>
              </w:rPr>
              <w:t xml:space="preserve">MAT liabilities / payroll </w:t>
            </w:r>
            <w:r w:rsidRPr="008C417D">
              <w:rPr>
                <w:rFonts w:cstheme="minorHAnsi"/>
                <w:b/>
                <w:bCs/>
                <w:color w:val="455560"/>
              </w:rPr>
              <w:t xml:space="preserve">AND </w:t>
            </w:r>
            <w:r w:rsidRPr="008C417D">
              <w:rPr>
                <w:rFonts w:cstheme="minorHAnsi"/>
                <w:color w:val="455560"/>
              </w:rPr>
              <w:t>the</w:t>
            </w:r>
            <w:r w:rsidRPr="008C417D">
              <w:rPr>
                <w:rFonts w:cstheme="minorHAnsi"/>
                <w:b/>
                <w:bCs/>
                <w:color w:val="455560"/>
              </w:rPr>
              <w:t xml:space="preserve"> </w:t>
            </w:r>
            <w:r w:rsidRPr="008C417D">
              <w:rPr>
                <w:rFonts w:cstheme="minorHAnsi"/>
                <w:color w:val="455560"/>
              </w:rPr>
              <w:t xml:space="preserve">rates currently in payment by the transferring academy is more than 5% lower than that in payment by the </w:t>
            </w:r>
            <w:r w:rsidRPr="008C417D" w:rsidR="0084238C">
              <w:rPr>
                <w:rFonts w:cstheme="minorHAnsi"/>
                <w:color w:val="455560"/>
              </w:rPr>
              <w:t xml:space="preserve">receiving </w:t>
            </w:r>
            <w:r w:rsidRPr="008C417D">
              <w:rPr>
                <w:rFonts w:cstheme="minorHAnsi"/>
                <w:color w:val="455560"/>
              </w:rPr>
              <w:t>MAT.</w:t>
            </w:r>
          </w:p>
          <w:p w:rsidRPr="008C417D" w:rsidR="00B401FF" w:rsidP="008D07AC" w:rsidRDefault="00B401FF" w14:paraId="52A98DB8" w14:textId="77777777">
            <w:pPr>
              <w:pStyle w:val="ListBullet3"/>
              <w:numPr>
                <w:ilvl w:val="0"/>
                <w:numId w:val="0"/>
              </w:numPr>
              <w:spacing w:before="60" w:after="144" w:afterLines="60" w:line="240" w:lineRule="auto"/>
              <w:ind w:left="420"/>
              <w:cnfStyle w:val="000000000000" w:firstRow="0" w:lastRow="0" w:firstColumn="0" w:lastColumn="0" w:oddVBand="0" w:evenVBand="0" w:oddHBand="0" w:evenHBand="0" w:firstRowFirstColumn="0" w:firstRowLastColumn="0" w:lastRowFirstColumn="0" w:lastRowLastColumn="0"/>
              <w:rPr>
                <w:rFonts w:cstheme="minorHAnsi"/>
                <w:b/>
                <w:bCs/>
                <w:color w:val="455560"/>
              </w:rPr>
            </w:pPr>
            <w:r w:rsidRPr="008C417D">
              <w:rPr>
                <w:rFonts w:cstheme="minorHAnsi"/>
                <w:b/>
                <w:bCs/>
                <w:color w:val="455560"/>
              </w:rPr>
              <w:t>OR</w:t>
            </w:r>
          </w:p>
          <w:p w:rsidRPr="008C417D" w:rsidR="00B401FF" w:rsidP="00B401FF" w:rsidRDefault="00B401FF" w14:paraId="4DAEA5D5" w14:textId="0745F89F">
            <w:pPr>
              <w:pStyle w:val="ListBullet3"/>
              <w:numPr>
                <w:ilvl w:val="0"/>
                <w:numId w:val="37"/>
              </w:numPr>
              <w:spacing w:before="60" w:after="144" w:afterLines="60" w:line="240" w:lineRule="auto"/>
              <w:cnfStyle w:val="000000000000" w:firstRow="0" w:lastRow="0" w:firstColumn="0" w:lastColumn="0" w:oddVBand="0" w:evenVBand="0" w:oddHBand="0" w:evenHBand="0" w:firstRowFirstColumn="0" w:firstRowLastColumn="0" w:lastRowFirstColumn="0" w:lastRowLastColumn="0"/>
              <w:rPr>
                <w:rFonts w:cstheme="minorHAnsi"/>
                <w:color w:val="455560"/>
              </w:rPr>
            </w:pPr>
            <w:r w:rsidRPr="008C417D">
              <w:rPr>
                <w:rFonts w:cstheme="minorHAnsi"/>
                <w:color w:val="455560"/>
              </w:rPr>
              <w:t>The funding level of the transferring academy</w:t>
            </w:r>
            <w:r w:rsidRPr="008C417D" w:rsidR="00EE7E08">
              <w:rPr>
                <w:rFonts w:cstheme="minorHAnsi"/>
                <w:color w:val="455560"/>
              </w:rPr>
              <w:t>/MAT</w:t>
            </w:r>
            <w:r w:rsidRPr="008C417D">
              <w:rPr>
                <w:rFonts w:cstheme="minorHAnsi"/>
                <w:color w:val="455560"/>
              </w:rPr>
              <w:t xml:space="preserve"> is lower than (or equal to) 80%. </w:t>
            </w:r>
          </w:p>
        </w:tc>
      </w:tr>
      <w:tr w:rsidRPr="008C417D" w:rsidR="00B401FF" w:rsidTr="00B401FF" w14:paraId="47D90EA0" w14:textId="77777777">
        <w:trPr>
          <w:trHeight w:val="80"/>
        </w:trPr>
        <w:tc>
          <w:tcPr>
            <w:cnfStyle w:val="001000000000" w:firstRow="0" w:lastRow="0" w:firstColumn="1" w:lastColumn="0" w:oddVBand="0" w:evenVBand="0" w:oddHBand="0" w:evenHBand="0" w:firstRowFirstColumn="0" w:firstRowLastColumn="0" w:lastRowFirstColumn="0" w:lastRowLastColumn="0"/>
            <w:tcW w:w="2835" w:type="dxa"/>
            <w:tcBorders>
              <w:top w:val="dashSmallGap" w:color="auto" w:sz="4" w:space="0"/>
              <w:bottom w:val="dashSmallGap" w:color="auto" w:sz="4" w:space="0"/>
              <w:right w:val="single" w:color="455560" w:sz="4" w:space="0"/>
            </w:tcBorders>
            <w:vAlign w:val="center"/>
          </w:tcPr>
          <w:p w:rsidRPr="008C417D" w:rsidR="00B401FF" w:rsidP="008D07AC" w:rsidRDefault="00B401FF" w14:paraId="2964AA0F" w14:textId="77777777">
            <w:pPr>
              <w:pStyle w:val="BodyText"/>
              <w:spacing w:before="60" w:line="240" w:lineRule="auto"/>
              <w:rPr>
                <w:rFonts w:asciiTheme="minorHAnsi" w:hAnsiTheme="minorHAnsi" w:cstheme="minorHAnsi"/>
                <w:b w:val="0"/>
                <w:bCs w:val="0"/>
                <w:color w:val="455560"/>
              </w:rPr>
            </w:pPr>
            <w:r w:rsidRPr="008C417D">
              <w:rPr>
                <w:rFonts w:asciiTheme="minorHAnsi" w:hAnsiTheme="minorHAnsi" w:cstheme="minorHAnsi"/>
                <w:color w:val="455560"/>
              </w:rPr>
              <w:lastRenderedPageBreak/>
              <w:t>Less than 2 years</w:t>
            </w:r>
          </w:p>
          <w:p w:rsidRPr="008C417D" w:rsidR="00B401FF" w:rsidP="008D07AC" w:rsidRDefault="00B401FF" w14:paraId="15DCD06D" w14:textId="77777777">
            <w:pPr>
              <w:pStyle w:val="BodyText"/>
              <w:spacing w:before="60" w:after="144" w:afterLines="60" w:line="240" w:lineRule="auto"/>
              <w:rPr>
                <w:rFonts w:asciiTheme="minorHAnsi" w:hAnsiTheme="minorHAnsi" w:cstheme="minorHAnsi"/>
                <w:color w:val="455560"/>
              </w:rPr>
            </w:pPr>
            <w:r w:rsidRPr="008C417D">
              <w:rPr>
                <w:rFonts w:asciiTheme="minorHAnsi" w:hAnsiTheme="minorHAnsi" w:cstheme="minorHAnsi"/>
                <w:b w:val="0"/>
                <w:bCs w:val="0"/>
                <w:i/>
                <w:color w:val="455560"/>
              </w:rPr>
              <w:t>(but more than 1)</w:t>
            </w:r>
          </w:p>
        </w:tc>
        <w:tc>
          <w:tcPr>
            <w:tcW w:w="6946" w:type="dxa"/>
            <w:tcBorders>
              <w:top w:val="dashSmallGap" w:color="auto" w:sz="4" w:space="0"/>
              <w:left w:val="single" w:color="455560" w:sz="4" w:space="0"/>
              <w:bottom w:val="dashSmallGap" w:color="auto" w:sz="4" w:space="0"/>
            </w:tcBorders>
            <w:vAlign w:val="center"/>
          </w:tcPr>
          <w:p w:rsidRPr="008C417D" w:rsidR="00B401FF" w:rsidP="008D07AC" w:rsidRDefault="00B401FF" w14:paraId="5334AA4E" w14:textId="77777777">
            <w:pPr>
              <w:pStyle w:val="ListBullet3"/>
              <w:numPr>
                <w:ilvl w:val="0"/>
                <w:numId w:val="0"/>
              </w:numPr>
              <w:spacing w:before="60" w:after="144" w:afterLines="60" w:line="240" w:lineRule="auto"/>
              <w:cnfStyle w:val="000000000000" w:firstRow="0" w:lastRow="0" w:firstColumn="0" w:lastColumn="0" w:oddVBand="0" w:evenVBand="0" w:oddHBand="0" w:evenHBand="0" w:firstRowFirstColumn="0" w:firstRowLastColumn="0" w:lastRowFirstColumn="0" w:lastRowLastColumn="0"/>
              <w:rPr>
                <w:rFonts w:cstheme="minorHAnsi"/>
                <w:color w:val="455560"/>
              </w:rPr>
            </w:pPr>
            <w:r w:rsidRPr="008C417D">
              <w:rPr>
                <w:rFonts w:cstheme="minorHAnsi"/>
                <w:color w:val="455560"/>
              </w:rPr>
              <w:t>Review rates if:</w:t>
            </w:r>
          </w:p>
          <w:p w:rsidRPr="008C417D" w:rsidR="00B401FF" w:rsidP="00B401FF" w:rsidRDefault="00B401FF" w14:paraId="267661D5" w14:textId="77777777">
            <w:pPr>
              <w:pStyle w:val="ListBullet3"/>
              <w:numPr>
                <w:ilvl w:val="0"/>
                <w:numId w:val="37"/>
              </w:numPr>
              <w:spacing w:before="60" w:after="144" w:afterLines="60" w:line="240" w:lineRule="auto"/>
              <w:cnfStyle w:val="000000000000" w:firstRow="0" w:lastRow="0" w:firstColumn="0" w:lastColumn="0" w:oddVBand="0" w:evenVBand="0" w:oddHBand="0" w:evenHBand="0" w:firstRowFirstColumn="0" w:firstRowLastColumn="0" w:lastRowFirstColumn="0" w:lastRowLastColumn="0"/>
              <w:rPr>
                <w:rFonts w:cstheme="minorHAnsi"/>
                <w:color w:val="455560"/>
              </w:rPr>
            </w:pPr>
            <w:r w:rsidRPr="008C417D">
              <w:rPr>
                <w:rFonts w:cstheme="minorHAnsi"/>
                <w:color w:val="455560"/>
              </w:rPr>
              <w:t>The net discount rate has fallen by more than 1% pa since the previous valuation date.</w:t>
            </w:r>
          </w:p>
          <w:p w:rsidRPr="008C417D" w:rsidR="00B401FF" w:rsidP="008D07AC" w:rsidRDefault="00B401FF" w14:paraId="2693E6A5" w14:textId="77777777">
            <w:pPr>
              <w:pStyle w:val="ListBullet3"/>
              <w:numPr>
                <w:ilvl w:val="0"/>
                <w:numId w:val="0"/>
              </w:numPr>
              <w:spacing w:before="60" w:after="144" w:afterLines="60" w:line="240" w:lineRule="auto"/>
              <w:ind w:left="420"/>
              <w:cnfStyle w:val="000000000000" w:firstRow="0" w:lastRow="0" w:firstColumn="0" w:lastColumn="0" w:oddVBand="0" w:evenVBand="0" w:oddHBand="0" w:evenHBand="0" w:firstRowFirstColumn="0" w:firstRowLastColumn="0" w:lastRowFirstColumn="0" w:lastRowLastColumn="0"/>
              <w:rPr>
                <w:rFonts w:cstheme="minorHAnsi"/>
                <w:b/>
                <w:bCs/>
                <w:color w:val="455560"/>
              </w:rPr>
            </w:pPr>
            <w:r w:rsidRPr="008C417D">
              <w:rPr>
                <w:rFonts w:cstheme="minorHAnsi"/>
                <w:b/>
                <w:bCs/>
                <w:color w:val="455560"/>
              </w:rPr>
              <w:t>OR</w:t>
            </w:r>
          </w:p>
          <w:p w:rsidRPr="008C417D" w:rsidR="00B401FF" w:rsidP="00B401FF" w:rsidRDefault="00B401FF" w14:paraId="13041F9C" w14:textId="41FBD76A">
            <w:pPr>
              <w:pStyle w:val="ListBullet3"/>
              <w:numPr>
                <w:ilvl w:val="0"/>
                <w:numId w:val="37"/>
              </w:numPr>
              <w:spacing w:before="60" w:after="144" w:afterLines="60" w:line="240" w:lineRule="auto"/>
              <w:cnfStyle w:val="000000000000" w:firstRow="0" w:lastRow="0" w:firstColumn="0" w:lastColumn="0" w:oddVBand="0" w:evenVBand="0" w:oddHBand="0" w:evenHBand="0" w:firstRowFirstColumn="0" w:firstRowLastColumn="0" w:lastRowFirstColumn="0" w:lastRowLastColumn="0"/>
              <w:rPr>
                <w:rFonts w:cstheme="minorHAnsi"/>
                <w:color w:val="455560"/>
              </w:rPr>
            </w:pPr>
            <w:r w:rsidRPr="008C417D">
              <w:rPr>
                <w:rFonts w:cstheme="minorHAnsi"/>
                <w:color w:val="455560"/>
              </w:rPr>
              <w:t xml:space="preserve">The transferring liabilities and/or payroll is greater than 20% of the </w:t>
            </w:r>
            <w:r w:rsidRPr="008C417D" w:rsidR="00EE7E08">
              <w:rPr>
                <w:rFonts w:cstheme="minorHAnsi"/>
                <w:color w:val="455560"/>
              </w:rPr>
              <w:t xml:space="preserve">receiving </w:t>
            </w:r>
            <w:r w:rsidRPr="008C417D">
              <w:rPr>
                <w:rFonts w:cstheme="minorHAnsi"/>
                <w:color w:val="455560"/>
              </w:rPr>
              <w:t xml:space="preserve">MAT liabilities / payroll </w:t>
            </w:r>
            <w:r w:rsidRPr="008C417D">
              <w:rPr>
                <w:rFonts w:cstheme="minorHAnsi"/>
                <w:b/>
                <w:bCs/>
                <w:color w:val="455560"/>
              </w:rPr>
              <w:t xml:space="preserve">AND </w:t>
            </w:r>
            <w:r w:rsidRPr="008C417D">
              <w:rPr>
                <w:rFonts w:cstheme="minorHAnsi"/>
                <w:color w:val="455560"/>
              </w:rPr>
              <w:t>the</w:t>
            </w:r>
            <w:r w:rsidRPr="008C417D">
              <w:rPr>
                <w:rFonts w:cstheme="minorHAnsi"/>
                <w:b/>
                <w:bCs/>
                <w:color w:val="455560"/>
              </w:rPr>
              <w:t xml:space="preserve"> </w:t>
            </w:r>
            <w:r w:rsidRPr="008C417D">
              <w:rPr>
                <w:rFonts w:cstheme="minorHAnsi"/>
                <w:color w:val="455560"/>
              </w:rPr>
              <w:t xml:space="preserve">rates currently in payment by the transferring academy is more than 5% lower than that in payment by the </w:t>
            </w:r>
            <w:r w:rsidRPr="008C417D" w:rsidR="0084238C">
              <w:rPr>
                <w:rFonts w:cstheme="minorHAnsi"/>
                <w:color w:val="455560"/>
              </w:rPr>
              <w:t xml:space="preserve">receiving </w:t>
            </w:r>
            <w:r w:rsidRPr="008C417D">
              <w:rPr>
                <w:rFonts w:cstheme="minorHAnsi"/>
                <w:color w:val="455560"/>
              </w:rPr>
              <w:t>MAT.</w:t>
            </w:r>
          </w:p>
          <w:p w:rsidRPr="008C417D" w:rsidR="00B401FF" w:rsidP="008D07AC" w:rsidRDefault="00B401FF" w14:paraId="203D6B15" w14:textId="77777777">
            <w:pPr>
              <w:pStyle w:val="ListBullet3"/>
              <w:numPr>
                <w:ilvl w:val="0"/>
                <w:numId w:val="0"/>
              </w:numPr>
              <w:spacing w:before="60" w:after="144" w:afterLines="60" w:line="240" w:lineRule="auto"/>
              <w:ind w:left="420"/>
              <w:cnfStyle w:val="000000000000" w:firstRow="0" w:lastRow="0" w:firstColumn="0" w:lastColumn="0" w:oddVBand="0" w:evenVBand="0" w:oddHBand="0" w:evenHBand="0" w:firstRowFirstColumn="0" w:firstRowLastColumn="0" w:lastRowFirstColumn="0" w:lastRowLastColumn="0"/>
              <w:rPr>
                <w:rFonts w:cstheme="minorHAnsi"/>
                <w:b/>
                <w:bCs/>
                <w:color w:val="455560"/>
              </w:rPr>
            </w:pPr>
            <w:r w:rsidRPr="008C417D">
              <w:rPr>
                <w:rFonts w:cstheme="minorHAnsi"/>
                <w:b/>
                <w:bCs/>
                <w:color w:val="455560"/>
              </w:rPr>
              <w:t>OR</w:t>
            </w:r>
          </w:p>
          <w:p w:rsidRPr="008C417D" w:rsidR="00B401FF" w:rsidP="00B401FF" w:rsidRDefault="00B401FF" w14:paraId="6F41BC13" w14:textId="2204AEA5">
            <w:pPr>
              <w:pStyle w:val="BodyText"/>
              <w:numPr>
                <w:ilvl w:val="0"/>
                <w:numId w:val="37"/>
              </w:numPr>
              <w:spacing w:before="60" w:after="144" w:afterLines="6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455560"/>
              </w:rPr>
            </w:pPr>
            <w:r w:rsidRPr="008C417D">
              <w:rPr>
                <w:rFonts w:asciiTheme="minorHAnsi" w:hAnsiTheme="minorHAnsi" w:cstheme="minorHAnsi"/>
                <w:color w:val="455560"/>
              </w:rPr>
              <w:t>The funding level of the transferring academy</w:t>
            </w:r>
            <w:r w:rsidRPr="008C417D" w:rsidR="00EE7E08">
              <w:rPr>
                <w:rFonts w:asciiTheme="minorHAnsi" w:hAnsiTheme="minorHAnsi" w:cstheme="minorHAnsi"/>
                <w:color w:val="455560"/>
              </w:rPr>
              <w:t>/MAT</w:t>
            </w:r>
            <w:r w:rsidRPr="008C417D">
              <w:rPr>
                <w:rFonts w:asciiTheme="minorHAnsi" w:hAnsiTheme="minorHAnsi" w:cstheme="minorHAnsi"/>
                <w:color w:val="455560"/>
              </w:rPr>
              <w:t xml:space="preserve"> is lower than (or equal to) 90%.</w:t>
            </w:r>
          </w:p>
        </w:tc>
      </w:tr>
      <w:tr w:rsidRPr="008C417D" w:rsidR="00B401FF" w:rsidTr="00B401FF" w14:paraId="1E3F23FD" w14:textId="77777777">
        <w:trPr>
          <w:trHeight w:val="80"/>
        </w:trPr>
        <w:tc>
          <w:tcPr>
            <w:cnfStyle w:val="001000000000" w:firstRow="0" w:lastRow="0" w:firstColumn="1" w:lastColumn="0" w:oddVBand="0" w:evenVBand="0" w:oddHBand="0" w:evenHBand="0" w:firstRowFirstColumn="0" w:firstRowLastColumn="0" w:lastRowFirstColumn="0" w:lastRowLastColumn="0"/>
            <w:tcW w:w="2835" w:type="dxa"/>
            <w:tcBorders>
              <w:top w:val="dashSmallGap" w:color="auto" w:sz="4" w:space="0"/>
              <w:bottom w:val="single" w:color="455560" w:sz="4" w:space="0"/>
              <w:right w:val="single" w:color="455560" w:sz="4" w:space="0"/>
            </w:tcBorders>
            <w:vAlign w:val="center"/>
          </w:tcPr>
          <w:p w:rsidRPr="008C417D" w:rsidR="00B401FF" w:rsidP="008D07AC" w:rsidRDefault="00B401FF" w14:paraId="6D12F55A" w14:textId="77777777">
            <w:pPr>
              <w:pStyle w:val="BodyText"/>
              <w:spacing w:before="60" w:line="240" w:lineRule="auto"/>
              <w:rPr>
                <w:rFonts w:asciiTheme="minorHAnsi" w:hAnsiTheme="minorHAnsi" w:cstheme="minorHAnsi"/>
                <w:b w:val="0"/>
                <w:bCs w:val="0"/>
                <w:color w:val="455560"/>
              </w:rPr>
            </w:pPr>
            <w:r w:rsidRPr="008C417D">
              <w:rPr>
                <w:rFonts w:asciiTheme="minorHAnsi" w:hAnsiTheme="minorHAnsi" w:cstheme="minorHAnsi"/>
                <w:color w:val="455560"/>
              </w:rPr>
              <w:t>Less than 3 years</w:t>
            </w:r>
          </w:p>
          <w:p w:rsidRPr="008C417D" w:rsidR="00B401FF" w:rsidP="008D07AC" w:rsidRDefault="00B401FF" w14:paraId="0B5B66C0" w14:textId="77777777">
            <w:pPr>
              <w:pStyle w:val="BodyText"/>
              <w:spacing w:before="60" w:after="144" w:afterLines="60" w:line="240" w:lineRule="auto"/>
              <w:rPr>
                <w:rFonts w:asciiTheme="minorHAnsi" w:hAnsiTheme="minorHAnsi" w:cstheme="minorHAnsi"/>
                <w:color w:val="455560"/>
              </w:rPr>
            </w:pPr>
            <w:r w:rsidRPr="008C417D">
              <w:rPr>
                <w:rFonts w:asciiTheme="minorHAnsi" w:hAnsiTheme="minorHAnsi" w:cstheme="minorHAnsi"/>
                <w:b w:val="0"/>
                <w:bCs w:val="0"/>
                <w:i/>
                <w:color w:val="455560"/>
              </w:rPr>
              <w:t>(but more than 2)</w:t>
            </w:r>
          </w:p>
        </w:tc>
        <w:tc>
          <w:tcPr>
            <w:tcW w:w="6946" w:type="dxa"/>
            <w:tcBorders>
              <w:top w:val="dashSmallGap" w:color="auto" w:sz="4" w:space="0"/>
              <w:left w:val="single" w:color="455560" w:sz="4" w:space="0"/>
              <w:bottom w:val="single" w:color="455560" w:sz="4" w:space="0"/>
            </w:tcBorders>
            <w:vAlign w:val="center"/>
          </w:tcPr>
          <w:p w:rsidRPr="008C417D" w:rsidR="00B401FF" w:rsidP="008D07AC" w:rsidRDefault="00B401FF" w14:paraId="4C817A56" w14:textId="607D62E2">
            <w:pPr>
              <w:pStyle w:val="BodyText"/>
              <w:spacing w:before="60" w:after="144" w:afterLines="6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455560"/>
              </w:rPr>
            </w:pPr>
            <w:r w:rsidRPr="008C417D">
              <w:rPr>
                <w:rFonts w:asciiTheme="minorHAnsi" w:hAnsiTheme="minorHAnsi" w:cstheme="minorHAnsi"/>
                <w:color w:val="455560"/>
              </w:rPr>
              <w:t>Review rate as part of</w:t>
            </w:r>
            <w:r w:rsidRPr="008C417D" w:rsidR="00B73795">
              <w:rPr>
                <w:rFonts w:asciiTheme="minorHAnsi" w:hAnsiTheme="minorHAnsi" w:cstheme="minorHAnsi"/>
                <w:color w:val="455560"/>
              </w:rPr>
              <w:t xml:space="preserve"> the current</w:t>
            </w:r>
            <w:r w:rsidRPr="008C417D">
              <w:rPr>
                <w:rFonts w:asciiTheme="minorHAnsi" w:hAnsiTheme="minorHAnsi" w:cstheme="minorHAnsi"/>
                <w:color w:val="455560"/>
              </w:rPr>
              <w:t xml:space="preserve"> formal triennial valuation.</w:t>
            </w:r>
          </w:p>
        </w:tc>
      </w:tr>
    </w:tbl>
    <w:p w:rsidRPr="008C417D" w:rsidR="001829C1" w:rsidP="0033119B" w:rsidRDefault="00B401FF" w14:paraId="562B58C3" w14:textId="18658BFF">
      <w:pPr>
        <w:pStyle w:val="BodyTextGrey"/>
        <w:rPr>
          <w:rFonts w:asciiTheme="minorHAnsi" w:hAnsiTheme="minorHAnsi" w:cstheme="minorHAnsi"/>
        </w:rPr>
      </w:pPr>
      <w:r w:rsidRPr="008C417D">
        <w:rPr>
          <w:rFonts w:asciiTheme="minorHAnsi" w:hAnsiTheme="minorHAnsi" w:cstheme="minorHAnsi"/>
        </w:rPr>
        <w:t xml:space="preserve">If, as a result of applying this test, the Fund determine that a review of contribution is necessary, advice from the Fund Actuary will be sought to </w:t>
      </w:r>
      <w:r w:rsidRPr="008C417D" w:rsidR="0033119B">
        <w:rPr>
          <w:rFonts w:asciiTheme="minorHAnsi" w:hAnsiTheme="minorHAnsi" w:cstheme="minorHAnsi"/>
        </w:rPr>
        <w:t>determine the revised contribution rate payable.</w:t>
      </w:r>
    </w:p>
    <w:p w:rsidRPr="008C417D" w:rsidR="009D5689" w:rsidP="009D5689" w:rsidRDefault="001829C1" w14:paraId="5A3F9558" w14:textId="007899A6">
      <w:pPr>
        <w:pStyle w:val="BodyTextGrey"/>
        <w:rPr>
          <w:rFonts w:asciiTheme="minorHAnsi" w:hAnsiTheme="minorHAnsi" w:cstheme="minorHAnsi"/>
        </w:rPr>
      </w:pPr>
      <w:r w:rsidRPr="008C417D">
        <w:rPr>
          <w:rFonts w:asciiTheme="minorHAnsi" w:hAnsiTheme="minorHAnsi" w:cstheme="minorHAnsi"/>
        </w:rPr>
        <w:t>Alternatively, as set out in the fund’s contribution review policy and per Regulation 64 A (1)(b) (iii) the MAT may request that a contribution review is carried out</w:t>
      </w:r>
      <w:r w:rsidRPr="008C417D" w:rsidR="0033119B">
        <w:rPr>
          <w:rFonts w:asciiTheme="minorHAnsi" w:hAnsiTheme="minorHAnsi" w:cstheme="minorHAnsi"/>
        </w:rPr>
        <w:t xml:space="preserve"> following a transfer</w:t>
      </w:r>
      <w:r w:rsidRPr="008C417D" w:rsidR="002535F9">
        <w:rPr>
          <w:rFonts w:asciiTheme="minorHAnsi" w:hAnsiTheme="minorHAnsi" w:cstheme="minorHAnsi"/>
        </w:rPr>
        <w:t xml:space="preserve">. </w:t>
      </w:r>
      <w:r w:rsidRPr="008C417D">
        <w:rPr>
          <w:rFonts w:asciiTheme="minorHAnsi" w:hAnsiTheme="minorHAnsi" w:cstheme="minorHAnsi"/>
        </w:rPr>
        <w:t>The MAT would be liable for the costs of this review.</w:t>
      </w:r>
    </w:p>
    <w:p w:rsidRPr="008C417D" w:rsidR="009D5689" w:rsidP="009D5689" w:rsidRDefault="009D5689" w14:paraId="54513EF6" w14:textId="77777777">
      <w:pPr>
        <w:pStyle w:val="Heading4"/>
        <w:rPr>
          <w:rFonts w:asciiTheme="minorHAnsi" w:hAnsiTheme="minorHAnsi" w:cstheme="minorHAnsi"/>
        </w:rPr>
      </w:pPr>
      <w:r w:rsidRPr="008C417D">
        <w:rPr>
          <w:rFonts w:asciiTheme="minorHAnsi" w:hAnsiTheme="minorHAnsi" w:cstheme="minorHAnsi"/>
        </w:rPr>
        <w:t>Academies leaving a MAT</w:t>
      </w:r>
    </w:p>
    <w:p w:rsidRPr="008C417D" w:rsidR="009D5689" w:rsidP="009D5689" w:rsidRDefault="009D5689" w14:paraId="4BE95615" w14:textId="4B0851E5">
      <w:pPr>
        <w:pStyle w:val="BodyTextGrey"/>
        <w:rPr>
          <w:rFonts w:asciiTheme="minorHAnsi" w:hAnsiTheme="minorHAnsi" w:cstheme="minorHAnsi"/>
        </w:rPr>
      </w:pPr>
      <w:r w:rsidRPr="008C417D">
        <w:rPr>
          <w:rFonts w:asciiTheme="minorHAnsi" w:hAnsiTheme="minorHAnsi" w:cstheme="minorHAnsi"/>
        </w:rPr>
        <w:t>As set out in section 5.2 of the FSS, if an academy leaves one MAT and joins another, all active, deferred and pensioner members transfer to the new MAT. The individual asset share of that academy (as tracked individually) will be transferred to the new MAT in full, noting that this may be more (or less) than 100% of the transferring liabilities.</w:t>
      </w:r>
    </w:p>
    <w:p w:rsidRPr="008C417D" w:rsidR="00654BB3" w:rsidP="00654BB3" w:rsidRDefault="00654BB3" w14:paraId="3377266A" w14:textId="77777777">
      <w:pPr>
        <w:pStyle w:val="Heading2Num"/>
        <w:numPr>
          <w:ilvl w:val="1"/>
          <w:numId w:val="1"/>
        </w:numPr>
        <w:rPr>
          <w:rFonts w:cstheme="minorHAnsi"/>
        </w:rPr>
      </w:pPr>
      <w:r w:rsidRPr="008C417D">
        <w:rPr>
          <w:rFonts w:cstheme="minorHAnsi"/>
        </w:rPr>
        <w:t>Cessations of academies and multi-academy trusts</w:t>
      </w:r>
    </w:p>
    <w:p w:rsidRPr="008C417D" w:rsidR="00654BB3" w:rsidP="00654BB3" w:rsidRDefault="00654BB3" w14:paraId="7D0989AB" w14:textId="6BB47A70">
      <w:pPr>
        <w:pStyle w:val="BodyTextGrey"/>
        <w:rPr>
          <w:rFonts w:asciiTheme="minorHAnsi" w:hAnsiTheme="minorHAnsi" w:cstheme="minorHAnsi"/>
        </w:rPr>
      </w:pPr>
      <w:r w:rsidRPr="008C417D">
        <w:rPr>
          <w:rFonts w:asciiTheme="minorHAnsi" w:hAnsiTheme="minorHAnsi" w:cstheme="minorHAnsi"/>
        </w:rPr>
        <w:t>A cessation event will occur if a current academy or MAT cease</w:t>
      </w:r>
      <w:r w:rsidRPr="008C417D" w:rsidR="007B6D2D">
        <w:rPr>
          <w:rFonts w:asciiTheme="minorHAnsi" w:hAnsiTheme="minorHAnsi" w:cstheme="minorHAnsi"/>
        </w:rPr>
        <w:t>s</w:t>
      </w:r>
      <w:r w:rsidRPr="008C417D">
        <w:rPr>
          <w:rFonts w:asciiTheme="minorHAnsi" w:hAnsiTheme="minorHAnsi" w:cstheme="minorHAnsi"/>
        </w:rPr>
        <w:t xml:space="preserve"> to exist as an entity or an employer in the </w:t>
      </w:r>
      <w:r w:rsidRPr="008C417D" w:rsidR="001E75D9">
        <w:rPr>
          <w:rFonts w:asciiTheme="minorHAnsi" w:hAnsiTheme="minorHAnsi" w:cstheme="minorHAnsi"/>
        </w:rPr>
        <w:t>f</w:t>
      </w:r>
      <w:r w:rsidRPr="008C417D">
        <w:rPr>
          <w:rFonts w:asciiTheme="minorHAnsi" w:hAnsiTheme="minorHAnsi" w:cstheme="minorHAnsi"/>
        </w:rPr>
        <w:t xml:space="preserve">und. </w:t>
      </w:r>
    </w:p>
    <w:p w:rsidRPr="008C417D" w:rsidR="00654BB3" w:rsidP="00654BB3" w:rsidRDefault="00654BB3" w14:paraId="71F36B2A" w14:textId="77777777">
      <w:pPr>
        <w:pStyle w:val="BodyTextGrey"/>
        <w:rPr>
          <w:rFonts w:asciiTheme="minorHAnsi" w:hAnsiTheme="minorHAnsi" w:cstheme="minorHAnsi"/>
        </w:rPr>
      </w:pPr>
      <w:r w:rsidRPr="008C417D">
        <w:rPr>
          <w:rFonts w:asciiTheme="minorHAnsi" w:hAnsiTheme="minorHAnsi" w:cstheme="minorHAnsi"/>
        </w:rPr>
        <w:t>The cessation treatment will depend on the circumstances:</w:t>
      </w:r>
    </w:p>
    <w:p w:rsidRPr="008C417D" w:rsidR="00654BB3" w:rsidP="00654BB3" w:rsidRDefault="00654BB3" w14:paraId="226328D0" w14:textId="12E43E70">
      <w:pPr>
        <w:pStyle w:val="BulletHymans"/>
        <w:numPr>
          <w:ilvl w:val="0"/>
          <w:numId w:val="3"/>
        </w:numPr>
        <w:rPr>
          <w:rFonts w:asciiTheme="minorHAnsi" w:hAnsiTheme="minorHAnsi" w:cstheme="minorHAnsi"/>
        </w:rPr>
      </w:pPr>
      <w:r w:rsidRPr="008C417D">
        <w:rPr>
          <w:rFonts w:asciiTheme="minorHAnsi" w:hAnsiTheme="minorHAnsi" w:cstheme="minorHAnsi"/>
        </w:rPr>
        <w:t xml:space="preserve">If the cessation event occurs due to an academy or MAT merging with another academy or MAT within the </w:t>
      </w:r>
      <w:r w:rsidRPr="008C417D" w:rsidR="001E75D9">
        <w:rPr>
          <w:rFonts w:asciiTheme="minorHAnsi" w:hAnsiTheme="minorHAnsi" w:cstheme="minorHAnsi"/>
        </w:rPr>
        <w:t>f</w:t>
      </w:r>
      <w:r w:rsidRPr="008C417D">
        <w:rPr>
          <w:rFonts w:asciiTheme="minorHAnsi" w:hAnsiTheme="minorHAnsi" w:cstheme="minorHAnsi"/>
        </w:rPr>
        <w:t xml:space="preserve">und, all </w:t>
      </w:r>
      <w:r w:rsidRPr="008C417D" w:rsidR="002535F9">
        <w:rPr>
          <w:rFonts w:asciiTheme="minorHAnsi" w:hAnsiTheme="minorHAnsi" w:cstheme="minorHAnsi"/>
        </w:rPr>
        <w:t>assets,</w:t>
      </w:r>
      <w:r w:rsidRPr="008C417D">
        <w:rPr>
          <w:rFonts w:asciiTheme="minorHAnsi" w:hAnsiTheme="minorHAnsi" w:cstheme="minorHAnsi"/>
        </w:rPr>
        <w:t xml:space="preserve"> and liabilities from each of the merging entities will be combined and will become the responsibility of the new merged entity. </w:t>
      </w:r>
    </w:p>
    <w:p w:rsidRPr="008C417D" w:rsidR="00654BB3" w:rsidP="00654BB3" w:rsidRDefault="00654BB3" w14:paraId="51218575" w14:textId="71CADD38">
      <w:pPr>
        <w:pStyle w:val="BulletHymans"/>
        <w:numPr>
          <w:ilvl w:val="0"/>
          <w:numId w:val="3"/>
        </w:numPr>
        <w:rPr>
          <w:rFonts w:asciiTheme="minorHAnsi" w:hAnsiTheme="minorHAnsi" w:cstheme="minorHAnsi"/>
        </w:rPr>
      </w:pPr>
      <w:r w:rsidRPr="008C417D">
        <w:rPr>
          <w:rFonts w:asciiTheme="minorHAnsi" w:hAnsiTheme="minorHAnsi" w:cstheme="minorHAnsi"/>
        </w:rPr>
        <w:t xml:space="preserve">If the MAT is split into more than one new or existing employers within the </w:t>
      </w:r>
      <w:r w:rsidRPr="008C417D" w:rsidR="001E75D9">
        <w:rPr>
          <w:rFonts w:asciiTheme="minorHAnsi" w:hAnsiTheme="minorHAnsi" w:cstheme="minorHAnsi"/>
        </w:rPr>
        <w:t>f</w:t>
      </w:r>
      <w:r w:rsidRPr="008C417D">
        <w:rPr>
          <w:rFonts w:asciiTheme="minorHAnsi" w:hAnsiTheme="minorHAnsi" w:cstheme="minorHAnsi"/>
        </w:rPr>
        <w:t>und, the actuary will calculate a split of the assets and liabilities to be transferred from the exiting employer to the new employers as described in 3.2 above</w:t>
      </w:r>
      <w:r w:rsidRPr="008C417D" w:rsidR="002535F9">
        <w:rPr>
          <w:rFonts w:asciiTheme="minorHAnsi" w:hAnsiTheme="minorHAnsi" w:cstheme="minorHAnsi"/>
        </w:rPr>
        <w:t xml:space="preserve">. </w:t>
      </w:r>
    </w:p>
    <w:p w:rsidRPr="008C417D" w:rsidR="00D15DB7" w:rsidP="70BDB1B7" w:rsidRDefault="00654BB3" w14:paraId="05BBDC0A" w14:textId="3E80D7E2">
      <w:pPr>
        <w:pStyle w:val="BulletHymans"/>
        <w:rPr>
          <w:rFonts w:asciiTheme="minorHAnsi" w:hAnsiTheme="minorHAnsi" w:cstheme="minorHAnsi"/>
        </w:rPr>
      </w:pPr>
      <w:r w:rsidRPr="008C417D">
        <w:rPr>
          <w:rFonts w:asciiTheme="minorHAnsi" w:hAnsiTheme="minorHAnsi" w:cstheme="minorHAnsi"/>
        </w:rPr>
        <w:t>In all other circumstances, and following payment of any cessation debt, section 7.</w:t>
      </w:r>
      <w:r w:rsidRPr="008C417D" w:rsidR="00643E0F">
        <w:rPr>
          <w:rFonts w:asciiTheme="minorHAnsi" w:hAnsiTheme="minorHAnsi" w:cstheme="minorHAnsi"/>
        </w:rPr>
        <w:t>4</w:t>
      </w:r>
      <w:r w:rsidRPr="008C417D">
        <w:rPr>
          <w:rFonts w:asciiTheme="minorHAnsi" w:hAnsiTheme="minorHAnsi" w:cstheme="minorHAnsi"/>
        </w:rPr>
        <w:t xml:space="preserve"> of the FSS would apply. </w:t>
      </w:r>
    </w:p>
    <w:p w:rsidRPr="008C417D" w:rsidR="00654BB3" w:rsidP="00654BB3" w:rsidRDefault="00D15DB7" w14:paraId="0E09C7CD" w14:textId="1E4C8FC0">
      <w:pPr>
        <w:pStyle w:val="BulletHymans"/>
        <w:numPr>
          <w:ilvl w:val="0"/>
          <w:numId w:val="3"/>
        </w:numPr>
        <w:rPr>
          <w:rFonts w:asciiTheme="minorHAnsi" w:hAnsiTheme="minorHAnsi" w:cstheme="minorHAnsi"/>
        </w:rPr>
      </w:pPr>
      <w:r w:rsidRPr="008C417D">
        <w:rPr>
          <w:rFonts w:asciiTheme="minorHAnsi" w:hAnsiTheme="minorHAnsi" w:cstheme="minorHAnsi"/>
        </w:rPr>
        <w:t>For the avoidance of any doubt, a cessation valuation will not be carried out if a single academy operating within a MAT ceases to exist</w:t>
      </w:r>
      <w:r w:rsidRPr="008C417D" w:rsidR="002535F9">
        <w:rPr>
          <w:rFonts w:asciiTheme="minorHAnsi" w:hAnsiTheme="minorHAnsi" w:cstheme="minorHAnsi"/>
        </w:rPr>
        <w:t xml:space="preserve">. </w:t>
      </w:r>
      <w:r w:rsidRPr="008C417D">
        <w:rPr>
          <w:rFonts w:asciiTheme="minorHAnsi" w:hAnsiTheme="minorHAnsi" w:cstheme="minorHAnsi"/>
        </w:rPr>
        <w:t>In this scenario – the assets and liabilities of the ceased academy will be retained within the MAT pool.</w:t>
      </w:r>
    </w:p>
    <w:p w:rsidRPr="008C417D" w:rsidR="00654BB3" w:rsidP="00654BB3" w:rsidRDefault="00654BB3" w14:paraId="2842C556" w14:textId="77777777">
      <w:pPr>
        <w:pStyle w:val="Heading2Num"/>
        <w:numPr>
          <w:ilvl w:val="1"/>
          <w:numId w:val="1"/>
        </w:numPr>
        <w:rPr>
          <w:rFonts w:cstheme="minorHAnsi"/>
        </w:rPr>
      </w:pPr>
      <w:r w:rsidRPr="008C417D">
        <w:rPr>
          <w:rFonts w:cstheme="minorHAnsi"/>
        </w:rPr>
        <w:t>Academy consolidations</w:t>
      </w:r>
    </w:p>
    <w:p w:rsidRPr="008C417D" w:rsidR="00654BB3" w:rsidP="00654BB3" w:rsidRDefault="00654BB3" w14:paraId="2499411F" w14:textId="4AB9801F">
      <w:pPr>
        <w:pStyle w:val="BodyTextGrey"/>
        <w:rPr>
          <w:rFonts w:asciiTheme="minorHAnsi" w:hAnsiTheme="minorHAnsi" w:cstheme="minorHAnsi"/>
        </w:rPr>
      </w:pPr>
      <w:r w:rsidRPr="008C417D">
        <w:rPr>
          <w:rFonts w:asciiTheme="minorHAnsi" w:hAnsiTheme="minorHAnsi" w:cstheme="minorHAnsi"/>
        </w:rPr>
        <w:t>If an academy or MAT is seeking to merge with another MAT outside of the fund they would need to seek approval from the secretary of state to consolidate their liabilities (and assets) into one LGPS fund</w:t>
      </w:r>
      <w:r w:rsidRPr="008C417D" w:rsidR="00C71A48">
        <w:rPr>
          <w:rFonts w:asciiTheme="minorHAnsi" w:hAnsiTheme="minorHAnsi" w:cstheme="minorHAnsi"/>
        </w:rPr>
        <w:t xml:space="preserve">. </w:t>
      </w:r>
    </w:p>
    <w:p w:rsidRPr="008C417D" w:rsidR="00654BB3" w:rsidP="00654BB3" w:rsidRDefault="00654BB3" w14:paraId="266403AD" w14:textId="7E81AF83">
      <w:pPr>
        <w:pStyle w:val="BodyTextGrey"/>
        <w:rPr>
          <w:rFonts w:asciiTheme="minorHAnsi" w:hAnsiTheme="minorHAnsi" w:cstheme="minorHAnsi"/>
        </w:rPr>
      </w:pPr>
      <w:r w:rsidRPr="008C417D">
        <w:rPr>
          <w:rFonts w:asciiTheme="minorHAnsi" w:hAnsiTheme="minorHAnsi" w:cstheme="minorHAnsi"/>
        </w:rPr>
        <w:t>The fund will provide the necessary administrative assistance to academies seeking to consolidate into another LGPS fund, however the academy (or MAT) will be fully liable for all actuarial</w:t>
      </w:r>
      <w:r w:rsidRPr="008C417D" w:rsidR="008427B7">
        <w:rPr>
          <w:rFonts w:asciiTheme="minorHAnsi" w:hAnsiTheme="minorHAnsi" w:cstheme="minorHAnsi"/>
        </w:rPr>
        <w:t xml:space="preserve">, </w:t>
      </w:r>
      <w:r w:rsidRPr="008C417D" w:rsidR="00C71A48">
        <w:rPr>
          <w:rFonts w:asciiTheme="minorHAnsi" w:hAnsiTheme="minorHAnsi" w:cstheme="minorHAnsi"/>
        </w:rPr>
        <w:t>professional,</w:t>
      </w:r>
      <w:r w:rsidRPr="008C417D" w:rsidR="008427B7">
        <w:rPr>
          <w:rFonts w:asciiTheme="minorHAnsi" w:hAnsiTheme="minorHAnsi" w:cstheme="minorHAnsi"/>
        </w:rPr>
        <w:t xml:space="preserve"> </w:t>
      </w:r>
      <w:r w:rsidRPr="008C417D">
        <w:rPr>
          <w:rFonts w:asciiTheme="minorHAnsi" w:hAnsiTheme="minorHAnsi" w:cstheme="minorHAnsi"/>
        </w:rPr>
        <w:t xml:space="preserve">and administrative costs. </w:t>
      </w:r>
    </w:p>
    <w:p w:rsidRPr="008C417D" w:rsidR="00447626" w:rsidP="00447626" w:rsidRDefault="000A37B5" w14:paraId="127D2E5C" w14:textId="5377CECC">
      <w:pPr>
        <w:pStyle w:val="BodyTextGrey"/>
        <w:rPr>
          <w:rFonts w:asciiTheme="minorHAnsi" w:hAnsiTheme="minorHAnsi" w:cstheme="minorHAnsi"/>
        </w:rPr>
      </w:pPr>
      <w:r w:rsidRPr="008C417D">
        <w:rPr>
          <w:rFonts w:asciiTheme="minorHAnsi" w:hAnsiTheme="minorHAnsi" w:cstheme="minorHAnsi"/>
        </w:rPr>
        <w:t xml:space="preserve">Following the transfer of an academy or a MAT from another LGPS Fund, </w:t>
      </w:r>
      <w:r w:rsidRPr="008C417D" w:rsidR="00B71323">
        <w:rPr>
          <w:rFonts w:asciiTheme="minorHAnsi" w:hAnsiTheme="minorHAnsi" w:cstheme="minorHAnsi"/>
        </w:rPr>
        <w:t>the Fund will assess if a revision to the contribution rate is required to allow for impact of the academy transfer</w:t>
      </w:r>
      <w:r w:rsidRPr="008C417D" w:rsidR="009528B8">
        <w:rPr>
          <w:rFonts w:asciiTheme="minorHAnsi" w:hAnsiTheme="minorHAnsi" w:cstheme="minorHAnsi"/>
        </w:rPr>
        <w:t>, based on the test set out in section 3.2.</w:t>
      </w:r>
    </w:p>
    <w:p w:rsidRPr="008C417D" w:rsidR="00654BB3" w:rsidP="00654BB3" w:rsidRDefault="00654BB3" w14:paraId="65EDCD47" w14:textId="5CB63C14">
      <w:pPr>
        <w:pStyle w:val="Heading2Num"/>
        <w:numPr>
          <w:ilvl w:val="1"/>
          <w:numId w:val="1"/>
        </w:numPr>
        <w:rPr>
          <w:rFonts w:cstheme="minorHAnsi"/>
        </w:rPr>
      </w:pPr>
      <w:r w:rsidRPr="008C417D">
        <w:rPr>
          <w:rFonts w:cstheme="minorHAnsi"/>
        </w:rPr>
        <w:lastRenderedPageBreak/>
        <w:t>Outsourcing</w:t>
      </w:r>
    </w:p>
    <w:p w:rsidRPr="008C417D" w:rsidR="00654BB3" w:rsidP="00654BB3" w:rsidRDefault="00654BB3" w14:paraId="6EE8F6EE" w14:textId="2F1DD392">
      <w:pPr>
        <w:pStyle w:val="BodyTextGrey"/>
        <w:rPr>
          <w:rFonts w:asciiTheme="minorHAnsi" w:hAnsiTheme="minorHAnsi" w:cstheme="minorHAnsi"/>
        </w:rPr>
      </w:pPr>
      <w:r w:rsidRPr="008C417D">
        <w:rPr>
          <w:rFonts w:asciiTheme="minorHAnsi" w:hAnsiTheme="minorHAnsi" w:cstheme="minorHAnsi"/>
        </w:rPr>
        <w:t xml:space="preserve">An academy (or MAT) may outsource or transfer a part of its services and workforce </w:t>
      </w:r>
      <w:r w:rsidRPr="008C417D" w:rsidR="00343EBE">
        <w:rPr>
          <w:rFonts w:asciiTheme="minorHAnsi" w:hAnsiTheme="minorHAnsi" w:cstheme="minorHAnsi"/>
        </w:rPr>
        <w:t xml:space="preserve">via an admission agreement to </w:t>
      </w:r>
      <w:r w:rsidRPr="008C417D">
        <w:rPr>
          <w:rFonts w:asciiTheme="minorHAnsi" w:hAnsiTheme="minorHAnsi" w:cstheme="minorHAnsi"/>
        </w:rPr>
        <w:t xml:space="preserve">another </w:t>
      </w:r>
      <w:r w:rsidRPr="008C417D" w:rsidR="00251069">
        <w:rPr>
          <w:rFonts w:asciiTheme="minorHAnsi" w:hAnsiTheme="minorHAnsi" w:cstheme="minorHAnsi"/>
        </w:rPr>
        <w:t xml:space="preserve">organisation </w:t>
      </w:r>
      <w:r w:rsidRPr="008C417D">
        <w:rPr>
          <w:rFonts w:asciiTheme="minorHAnsi" w:hAnsiTheme="minorHAnsi" w:cstheme="minorHAnsi"/>
        </w:rPr>
        <w:t xml:space="preserve">(usually a contractor). </w:t>
      </w:r>
      <w:r w:rsidRPr="008C417D" w:rsidR="00F273B9">
        <w:rPr>
          <w:rFonts w:asciiTheme="minorHAnsi" w:hAnsiTheme="minorHAnsi" w:cstheme="minorHAnsi"/>
        </w:rPr>
        <w:t>The contractor becomes a new participating fund employer for the duration of the contract and transferring employees remain eligible for LGPS membership.</w:t>
      </w:r>
    </w:p>
    <w:p w:rsidRPr="008C417D" w:rsidR="00654BB3" w:rsidP="00654BB3" w:rsidRDefault="00654BB3" w14:paraId="7A55F601" w14:textId="4E159D83">
      <w:pPr>
        <w:pStyle w:val="BodyTextGrey"/>
        <w:rPr>
          <w:rFonts w:asciiTheme="minorHAnsi" w:hAnsiTheme="minorHAnsi" w:cstheme="minorHAnsi"/>
        </w:rPr>
      </w:pPr>
      <w:r w:rsidRPr="008C417D">
        <w:rPr>
          <w:rFonts w:asciiTheme="minorHAnsi" w:hAnsiTheme="minorHAnsi" w:cstheme="minorHAnsi"/>
        </w:rPr>
        <w:t xml:space="preserve">The contractor will pay towards the LGPS benefits accrued by the transferring members for the duration of the contract, but ultimately the obligation to pay for these benefits will </w:t>
      </w:r>
      <w:r w:rsidRPr="008C417D" w:rsidR="0038129E">
        <w:rPr>
          <w:rFonts w:asciiTheme="minorHAnsi" w:hAnsiTheme="minorHAnsi" w:cstheme="minorHAnsi"/>
        </w:rPr>
        <w:t xml:space="preserve">remain with </w:t>
      </w:r>
      <w:r w:rsidRPr="008C417D">
        <w:rPr>
          <w:rFonts w:asciiTheme="minorHAnsi" w:hAnsiTheme="minorHAnsi" w:cstheme="minorHAnsi"/>
        </w:rPr>
        <w:t xml:space="preserve">the academy (or MAT) </w:t>
      </w:r>
      <w:r w:rsidRPr="008C417D" w:rsidR="0038129E">
        <w:rPr>
          <w:rFonts w:asciiTheme="minorHAnsi" w:hAnsiTheme="minorHAnsi" w:cstheme="minorHAnsi"/>
        </w:rPr>
        <w:t xml:space="preserve">during and after the </w:t>
      </w:r>
      <w:r w:rsidRPr="008C417D">
        <w:rPr>
          <w:rFonts w:asciiTheme="minorHAnsi" w:hAnsiTheme="minorHAnsi" w:cstheme="minorHAnsi"/>
        </w:rPr>
        <w:t>contract</w:t>
      </w:r>
      <w:r w:rsidRPr="008C417D" w:rsidR="0038129E">
        <w:rPr>
          <w:rFonts w:asciiTheme="minorHAnsi" w:hAnsiTheme="minorHAnsi" w:cstheme="minorHAnsi"/>
        </w:rPr>
        <w:t xml:space="preserve"> period</w:t>
      </w:r>
      <w:r w:rsidRPr="008C417D">
        <w:rPr>
          <w:rFonts w:asciiTheme="minorHAnsi" w:hAnsiTheme="minorHAnsi" w:cstheme="minorHAnsi"/>
        </w:rPr>
        <w:t xml:space="preserve">. </w:t>
      </w:r>
    </w:p>
    <w:p w:rsidRPr="008C417D" w:rsidR="00D61121" w:rsidP="00654BB3" w:rsidRDefault="00D61121" w14:paraId="51B42413" w14:textId="788BF5DE">
      <w:pPr>
        <w:pStyle w:val="BodyTextGrey"/>
        <w:rPr>
          <w:rFonts w:asciiTheme="minorHAnsi" w:hAnsiTheme="minorHAnsi" w:cstheme="minorHAnsi"/>
        </w:rPr>
      </w:pPr>
      <w:r w:rsidRPr="008C417D">
        <w:rPr>
          <w:rFonts w:asciiTheme="minorHAnsi" w:hAnsiTheme="minorHAnsi" w:cstheme="minorHAnsi"/>
        </w:rPr>
        <w:t xml:space="preserve">It is the </w:t>
      </w:r>
      <w:r w:rsidRPr="008C417D" w:rsidR="001E75D9">
        <w:rPr>
          <w:rFonts w:asciiTheme="minorHAnsi" w:hAnsiTheme="minorHAnsi" w:cstheme="minorHAnsi"/>
        </w:rPr>
        <w:t>f</w:t>
      </w:r>
      <w:r w:rsidRPr="008C417D">
        <w:rPr>
          <w:rFonts w:asciiTheme="minorHAnsi" w:hAnsiTheme="minorHAnsi" w:cstheme="minorHAnsi"/>
        </w:rPr>
        <w:t xml:space="preserve">und’s preference </w:t>
      </w:r>
      <w:r w:rsidRPr="008C417D" w:rsidR="0093610A">
        <w:rPr>
          <w:rFonts w:asciiTheme="minorHAnsi" w:hAnsiTheme="minorHAnsi" w:cstheme="minorHAnsi"/>
        </w:rPr>
        <w:t xml:space="preserve">for </w:t>
      </w:r>
      <w:r w:rsidRPr="008C417D" w:rsidR="0038129E">
        <w:rPr>
          <w:rFonts w:asciiTheme="minorHAnsi" w:hAnsiTheme="minorHAnsi" w:cstheme="minorHAnsi"/>
        </w:rPr>
        <w:t xml:space="preserve">the </w:t>
      </w:r>
      <w:r w:rsidRPr="008C417D" w:rsidR="004D601C">
        <w:rPr>
          <w:rFonts w:asciiTheme="minorHAnsi" w:hAnsiTheme="minorHAnsi" w:cstheme="minorHAnsi"/>
        </w:rPr>
        <w:t>contractor</w:t>
      </w:r>
      <w:r w:rsidRPr="008C417D" w:rsidR="0038129E">
        <w:rPr>
          <w:rFonts w:asciiTheme="minorHAnsi" w:hAnsiTheme="minorHAnsi" w:cstheme="minorHAnsi"/>
        </w:rPr>
        <w:t xml:space="preserve"> to participate under a pass-through basis of admission, where the </w:t>
      </w:r>
      <w:r w:rsidRPr="008C417D" w:rsidR="004D601C">
        <w:rPr>
          <w:rFonts w:asciiTheme="minorHAnsi" w:hAnsiTheme="minorHAnsi" w:cstheme="minorHAnsi"/>
        </w:rPr>
        <w:t xml:space="preserve">contribution rate </w:t>
      </w:r>
      <w:r w:rsidRPr="008C417D" w:rsidR="0038129E">
        <w:rPr>
          <w:rFonts w:asciiTheme="minorHAnsi" w:hAnsiTheme="minorHAnsi" w:cstheme="minorHAnsi"/>
        </w:rPr>
        <w:t xml:space="preserve">is </w:t>
      </w:r>
      <w:r w:rsidRPr="008C417D" w:rsidR="0093610A">
        <w:rPr>
          <w:rFonts w:asciiTheme="minorHAnsi" w:hAnsiTheme="minorHAnsi" w:cstheme="minorHAnsi"/>
        </w:rPr>
        <w:t xml:space="preserve">set equal to the </w:t>
      </w:r>
      <w:r w:rsidRPr="008C417D" w:rsidR="0038129E">
        <w:rPr>
          <w:rFonts w:asciiTheme="minorHAnsi" w:hAnsiTheme="minorHAnsi" w:cstheme="minorHAnsi"/>
        </w:rPr>
        <w:t xml:space="preserve">Primary Rate paid by the </w:t>
      </w:r>
      <w:r w:rsidRPr="008C417D" w:rsidR="0093610A">
        <w:rPr>
          <w:rFonts w:asciiTheme="minorHAnsi" w:hAnsiTheme="minorHAnsi" w:cstheme="minorHAnsi"/>
        </w:rPr>
        <w:t>letting academy (or MAT).</w:t>
      </w:r>
    </w:p>
    <w:p w:rsidRPr="008C417D" w:rsidR="00654BB3" w:rsidP="00654BB3" w:rsidRDefault="00654BB3" w14:paraId="4ECB73C8" w14:textId="2887ACAC">
      <w:pPr>
        <w:pStyle w:val="BodyTextGrey"/>
        <w:rPr>
          <w:rFonts w:asciiTheme="minorHAnsi" w:hAnsiTheme="minorHAnsi" w:cstheme="minorHAnsi"/>
        </w:rPr>
      </w:pPr>
      <w:r w:rsidRPr="008C417D">
        <w:rPr>
          <w:rFonts w:asciiTheme="minorHAnsi" w:hAnsiTheme="minorHAnsi" w:cstheme="minorHAnsi"/>
        </w:rPr>
        <w:t xml:space="preserve">It is critical for any academy (or MAT) considering any outsourcing to contact the </w:t>
      </w:r>
      <w:r w:rsidRPr="008C417D" w:rsidR="001E75D9">
        <w:rPr>
          <w:rFonts w:asciiTheme="minorHAnsi" w:hAnsiTheme="minorHAnsi" w:cstheme="minorHAnsi"/>
        </w:rPr>
        <w:t>f</w:t>
      </w:r>
      <w:r w:rsidRPr="008C417D">
        <w:rPr>
          <w:rFonts w:asciiTheme="minorHAnsi" w:hAnsiTheme="minorHAnsi" w:cstheme="minorHAnsi"/>
        </w:rPr>
        <w:t>und initially to fully understand the administrative and funding implications</w:t>
      </w:r>
      <w:r w:rsidRPr="008C417D" w:rsidR="00B01428">
        <w:rPr>
          <w:rFonts w:asciiTheme="minorHAnsi" w:hAnsiTheme="minorHAnsi" w:cstheme="minorHAnsi"/>
        </w:rPr>
        <w:t xml:space="preserve">. </w:t>
      </w:r>
      <w:r w:rsidRPr="008C417D">
        <w:rPr>
          <w:rFonts w:asciiTheme="minorHAnsi" w:hAnsiTheme="minorHAnsi" w:cstheme="minorHAnsi"/>
        </w:rPr>
        <w:t xml:space="preserve">The academy should also read and fully understand the fund’s </w:t>
      </w:r>
      <w:r w:rsidRPr="008C417D" w:rsidR="0038129E">
        <w:rPr>
          <w:rFonts w:asciiTheme="minorHAnsi" w:hAnsiTheme="minorHAnsi" w:cstheme="minorHAnsi"/>
        </w:rPr>
        <w:t>Admissions and Bulk Transfers</w:t>
      </w:r>
      <w:r w:rsidRPr="008C417D">
        <w:rPr>
          <w:rFonts w:asciiTheme="minorHAnsi" w:hAnsiTheme="minorHAnsi" w:cstheme="minorHAnsi"/>
        </w:rPr>
        <w:t xml:space="preserve"> policy</w:t>
      </w:r>
      <w:r w:rsidRPr="008C417D" w:rsidR="002535F9">
        <w:rPr>
          <w:rFonts w:asciiTheme="minorHAnsi" w:hAnsiTheme="minorHAnsi" w:cstheme="minorHAnsi"/>
        </w:rPr>
        <w:t xml:space="preserve">. </w:t>
      </w:r>
    </w:p>
    <w:p w:rsidRPr="008C417D" w:rsidR="00E1405E" w:rsidP="00E1405E" w:rsidRDefault="00E1405E" w14:paraId="3B1E5615" w14:textId="32C5FD55">
      <w:pPr>
        <w:pStyle w:val="Heading2Num"/>
        <w:rPr>
          <w:rFonts w:cstheme="minorHAnsi"/>
        </w:rPr>
      </w:pPr>
      <w:r w:rsidRPr="008C417D">
        <w:rPr>
          <w:rFonts w:cstheme="minorHAnsi"/>
        </w:rPr>
        <w:t>Accounting</w:t>
      </w:r>
    </w:p>
    <w:p w:rsidRPr="008C417D" w:rsidR="00E1405E" w:rsidRDefault="00E1405E" w14:paraId="709464BE" w14:textId="008C5A0F">
      <w:pPr>
        <w:pStyle w:val="BodyTextGrey"/>
        <w:rPr>
          <w:rFonts w:asciiTheme="minorHAnsi" w:hAnsiTheme="minorHAnsi" w:cstheme="minorHAnsi"/>
        </w:rPr>
      </w:pPr>
      <w:r w:rsidRPr="008C417D">
        <w:rPr>
          <w:rFonts w:asciiTheme="minorHAnsi" w:hAnsiTheme="minorHAnsi" w:cstheme="minorHAnsi"/>
        </w:rPr>
        <w:t>Academies (or MATs) may choose to prepare combined FRS102 disclosures (eg for all academies within a MAT)</w:t>
      </w:r>
      <w:r w:rsidRPr="008C417D" w:rsidR="002535F9">
        <w:rPr>
          <w:rFonts w:asciiTheme="minorHAnsi" w:hAnsiTheme="minorHAnsi" w:cstheme="minorHAnsi"/>
        </w:rPr>
        <w:t xml:space="preserve">. </w:t>
      </w:r>
      <w:r w:rsidRPr="008C417D">
        <w:rPr>
          <w:rFonts w:asciiTheme="minorHAnsi" w:hAnsiTheme="minorHAnsi" w:cstheme="minorHAnsi"/>
        </w:rPr>
        <w:t>Any pooling arrangements for accounting purposes may be independent of the funding arrangements (eg academies may be pooled for contribution or funding risks but prepare individual disclosures, or vice versa).</w:t>
      </w:r>
    </w:p>
    <w:p w:rsidRPr="008C417D" w:rsidR="00654BB3" w:rsidP="00654BB3" w:rsidRDefault="00654BB3" w14:paraId="00077D5F" w14:textId="77777777">
      <w:pPr>
        <w:pStyle w:val="Heading1Num"/>
        <w:numPr>
          <w:ilvl w:val="0"/>
          <w:numId w:val="28"/>
        </w:numPr>
        <w:tabs>
          <w:tab w:val="clear" w:pos="567"/>
          <w:tab w:val="num" w:pos="360"/>
        </w:tabs>
        <w:rPr>
          <w:rFonts w:cstheme="minorHAnsi"/>
        </w:rPr>
      </w:pPr>
      <w:bookmarkStart w:name="_Toc112068219" w:id="11"/>
      <w:r w:rsidRPr="008C417D">
        <w:rPr>
          <w:rFonts w:cstheme="minorHAnsi"/>
        </w:rPr>
        <w:t>Related Policies</w:t>
      </w:r>
      <w:bookmarkEnd w:id="11"/>
    </w:p>
    <w:p w:rsidRPr="008C417D" w:rsidR="001E75D9" w:rsidP="001E75D9" w:rsidRDefault="001E75D9" w14:paraId="7D85D482" w14:textId="7D22E096">
      <w:pPr>
        <w:pStyle w:val="BodyTextGrey"/>
        <w:rPr>
          <w:rFonts w:asciiTheme="minorHAnsi" w:hAnsiTheme="minorHAnsi" w:cstheme="minorHAnsi"/>
        </w:rPr>
      </w:pPr>
      <w:r w:rsidRPr="008C417D">
        <w:rPr>
          <w:rFonts w:asciiTheme="minorHAnsi" w:hAnsiTheme="minorHAnsi" w:cstheme="minorHAnsi"/>
        </w:rPr>
        <w:t>The fund’s approach to admitting new academies into the fund is set out in the Funding Strategy Statement, specifically “Section 5 – What happens when an employer joins the fund?”</w:t>
      </w:r>
    </w:p>
    <w:p w:rsidRPr="008C417D" w:rsidR="0038129E" w:rsidP="00C60CFC" w:rsidRDefault="0038129E" w14:paraId="64B46B9E" w14:textId="05B2534B">
      <w:pPr>
        <w:pStyle w:val="BodyTextGrey"/>
        <w:numPr>
          <w:ilvl w:val="0"/>
          <w:numId w:val="34"/>
        </w:numPr>
        <w:rPr>
          <w:rFonts w:asciiTheme="minorHAnsi" w:hAnsiTheme="minorHAnsi" w:cstheme="minorHAnsi"/>
        </w:rPr>
      </w:pPr>
      <w:r w:rsidRPr="008C417D">
        <w:rPr>
          <w:rFonts w:asciiTheme="minorHAnsi" w:hAnsiTheme="minorHAnsi" w:cstheme="minorHAnsi"/>
        </w:rPr>
        <w:t>The Admissions and Bulk Transfer policy sets out the basis by which new contractors participate in the LGPS.</w:t>
      </w:r>
    </w:p>
    <w:p w:rsidRPr="008C417D" w:rsidR="001E75D9" w:rsidP="00C60CFC" w:rsidRDefault="001E75D9" w14:paraId="1E9101E3" w14:textId="153D1DFF">
      <w:pPr>
        <w:pStyle w:val="BodyTextGrey"/>
        <w:numPr>
          <w:ilvl w:val="0"/>
          <w:numId w:val="34"/>
        </w:numPr>
        <w:rPr>
          <w:rFonts w:asciiTheme="minorHAnsi" w:hAnsiTheme="minorHAnsi" w:cstheme="minorHAnsi"/>
        </w:rPr>
      </w:pPr>
      <w:r w:rsidRPr="008C417D">
        <w:rPr>
          <w:rFonts w:asciiTheme="minorHAnsi" w:hAnsiTheme="minorHAnsi" w:cstheme="minorHAnsi"/>
        </w:rPr>
        <w:t>Contribution review policy</w:t>
      </w:r>
    </w:p>
    <w:p w:rsidRPr="008C417D" w:rsidR="001E75D9" w:rsidP="00C60CFC" w:rsidRDefault="00654BB3" w14:paraId="099D49C7" w14:textId="4F7555A8">
      <w:pPr>
        <w:pStyle w:val="BodyTextGrey"/>
        <w:numPr>
          <w:ilvl w:val="0"/>
          <w:numId w:val="34"/>
        </w:numPr>
        <w:rPr>
          <w:rFonts w:asciiTheme="minorHAnsi" w:hAnsiTheme="minorHAnsi" w:cstheme="minorHAnsi"/>
        </w:rPr>
      </w:pPr>
      <w:r w:rsidRPr="008C417D">
        <w:rPr>
          <w:rFonts w:asciiTheme="minorHAnsi" w:hAnsiTheme="minorHAnsi" w:cstheme="minorHAnsi"/>
        </w:rPr>
        <w:t>Cessation policy</w:t>
      </w:r>
    </w:p>
    <w:p w:rsidRPr="00CA3B93" w:rsidR="00CA3B93" w:rsidP="00C60CFC" w:rsidRDefault="00CA3B93" w14:paraId="781D39C3" w14:textId="3AE4D945">
      <w:pPr>
        <w:pStyle w:val="BodyTextGrey"/>
      </w:pPr>
      <w:bookmarkStart w:name="_Policy" w:id="12"/>
      <w:bookmarkStart w:name="_Toc85536127" w:id="13"/>
      <w:bookmarkStart w:name="AppendixE" w:id="14"/>
      <w:bookmarkEnd w:id="5"/>
      <w:bookmarkEnd w:id="6"/>
      <w:bookmarkEnd w:id="12"/>
      <w:bookmarkEnd w:id="13"/>
      <w:bookmarkEnd w:id="14"/>
    </w:p>
    <w:sectPr w:rsidRPr="00CA3B93" w:rsidR="00CA3B93" w:rsidSect="00165C16">
      <w:headerReference w:type="default" r:id="rId13"/>
      <w:headerReference w:type="first" r:id="rId14"/>
      <w:pgSz w:w="11906" w:h="16838" w:orient="portrait" w:code="9"/>
      <w:pgMar w:top="1814" w:right="851" w:bottom="1134" w:left="1134" w:header="720" w:footer="2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4690" w:rsidP="004B7C6A" w:rsidRDefault="00EA4690" w14:paraId="2D8C0CDF" w14:textId="77777777">
      <w:pPr>
        <w:spacing w:line="240" w:lineRule="auto"/>
      </w:pPr>
      <w:r>
        <w:separator/>
      </w:r>
    </w:p>
  </w:endnote>
  <w:endnote w:type="continuationSeparator" w:id="0">
    <w:p w:rsidR="00EA4690" w:rsidP="004B7C6A" w:rsidRDefault="00EA4690" w14:paraId="70E92AC6" w14:textId="77777777">
      <w:pPr>
        <w:spacing w:line="240" w:lineRule="auto"/>
      </w:pPr>
      <w:r>
        <w:continuationSeparator/>
      </w:r>
    </w:p>
  </w:endnote>
  <w:endnote w:type="continuationNotice" w:id="1">
    <w:p w:rsidR="00EA4690" w:rsidRDefault="00EA4690" w14:paraId="70E657D2" w14:textId="7777777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T">
    <w:charset w:val="00"/>
    <w:family w:val="auto"/>
    <w:pitch w:val="variable"/>
    <w:sig w:usb0="8000002F" w:usb1="0000004A"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4690" w:rsidP="004B7C6A" w:rsidRDefault="00EA4690" w14:paraId="49F9C352" w14:textId="77777777">
      <w:pPr>
        <w:spacing w:line="240" w:lineRule="auto"/>
      </w:pPr>
      <w:r>
        <w:separator/>
      </w:r>
    </w:p>
  </w:footnote>
  <w:footnote w:type="continuationSeparator" w:id="0">
    <w:p w:rsidR="00EA4690" w:rsidP="004B7C6A" w:rsidRDefault="00EA4690" w14:paraId="23A3FA05" w14:textId="77777777">
      <w:pPr>
        <w:spacing w:line="240" w:lineRule="auto"/>
      </w:pPr>
      <w:r>
        <w:continuationSeparator/>
      </w:r>
    </w:p>
  </w:footnote>
  <w:footnote w:type="continuationNotice" w:id="1">
    <w:p w:rsidR="00EA4690" w:rsidRDefault="00EA4690" w14:paraId="002FF67B" w14:textId="77777777">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415" w:rsidP="00334487" w:rsidRDefault="00386415" w14:paraId="25CE1209" w14:textId="2A5FD4B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65C16" w:rsidP="00DF71C9" w:rsidRDefault="003158E3" w14:paraId="40C6FA34" w14:textId="56FC779B">
    <w:pPr>
      <w:pStyle w:val="Header"/>
      <w:jc w:val="right"/>
    </w:pPr>
    <w:r>
      <w:rPr>
        <w:noProof/>
      </w:rPr>
      <w:drawing>
        <wp:inline distT="0" distB="0" distL="0" distR="0" wp14:anchorId="2E8555AB" wp14:editId="61B9D941">
          <wp:extent cx="2332800" cy="648000"/>
          <wp:effectExtent l="0" t="0" r="0" b="0"/>
          <wp:docPr id="1262214472" name="Picture 1" descr="Logo Cambridge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214472" name="Picture 1" descr="Logo Cambridgeshire Pension Fund"/>
                  <pic:cNvPicPr/>
                </pic:nvPicPr>
                <pic:blipFill>
                  <a:blip r:embed="rId1">
                    <a:extLst>
                      <a:ext uri="{28A0092B-C50C-407E-A947-70E740481C1C}">
                        <a14:useLocalDpi xmlns:a14="http://schemas.microsoft.com/office/drawing/2010/main" val="0"/>
                      </a:ext>
                    </a:extLst>
                  </a:blip>
                  <a:stretch>
                    <a:fillRect/>
                  </a:stretch>
                </pic:blipFill>
                <pic:spPr>
                  <a:xfrm>
                    <a:off x="0" y="0"/>
                    <a:ext cx="2332800" cy="648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3F44"/>
    <w:multiLevelType w:val="hybridMultilevel"/>
    <w:tmpl w:val="D578DE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4F75B8"/>
    <w:multiLevelType w:val="multilevel"/>
    <w:tmpl w:val="95DCC376"/>
    <w:lvl w:ilvl="0">
      <w:start w:val="1"/>
      <w:numFmt w:val="decimal"/>
      <w:lvlRestart w:val="0"/>
      <w:pStyle w:val="Heading1Num"/>
      <w:isLgl/>
      <w:lvlText w:val="%1"/>
      <w:lvlJc w:val="left"/>
      <w:pPr>
        <w:tabs>
          <w:tab w:val="num" w:pos="567"/>
        </w:tabs>
        <w:ind w:left="567" w:hanging="567"/>
      </w:pPr>
      <w:rPr>
        <w:rFonts w:hint="default"/>
      </w:rPr>
    </w:lvl>
    <w:lvl w:ilvl="1">
      <w:start w:val="1"/>
      <w:numFmt w:val="decimal"/>
      <w:pStyle w:val="Heading2Num"/>
      <w:lvlText w:val="%1.%2"/>
      <w:lvlJc w:val="left"/>
      <w:pPr>
        <w:tabs>
          <w:tab w:val="num" w:pos="567"/>
        </w:tabs>
        <w:ind w:left="567" w:hanging="567"/>
      </w:pPr>
      <w:rPr>
        <w:rFonts w:hint="default"/>
      </w:rPr>
    </w:lvl>
    <w:lvl w:ilvl="2">
      <w:start w:val="1"/>
      <w:numFmt w:val="decimal"/>
      <w:pStyle w:val="Heading3Num"/>
      <w:lvlText w:val="%1.%2.%3"/>
      <w:lvlJc w:val="left"/>
      <w:pPr>
        <w:tabs>
          <w:tab w:val="num" w:pos="567"/>
        </w:tabs>
        <w:ind w:left="567" w:hanging="567"/>
      </w:pPr>
      <w:rPr>
        <w:rFonts w:hint="default"/>
      </w:rPr>
    </w:lvl>
    <w:lvl w:ilvl="3">
      <w:start w:val="1"/>
      <w:numFmt w:val="bullet"/>
      <w:lvlText w:val=""/>
      <w:lvlJc w:val="left"/>
      <w:pPr>
        <w:tabs>
          <w:tab w:val="num" w:pos="2268"/>
        </w:tabs>
        <w:ind w:left="2268" w:hanging="567"/>
      </w:pPr>
      <w:rPr>
        <w:rFonts w:hint="default" w:ascii="Symbol" w:hAnsi="Symbol"/>
      </w:rPr>
    </w:lvl>
    <w:lvl w:ilvl="4">
      <w:start w:val="1"/>
      <w:numFmt w:val="bullet"/>
      <w:lvlText w:val="-"/>
      <w:lvlJc w:val="left"/>
      <w:pPr>
        <w:tabs>
          <w:tab w:val="num" w:pos="2835"/>
        </w:tabs>
        <w:ind w:left="2835" w:hanging="567"/>
      </w:pPr>
      <w:rPr>
        <w:rFonts w:hint="default" w:ascii="Arial" w:hAnsi="Arial"/>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DC91143"/>
    <w:multiLevelType w:val="multilevel"/>
    <w:tmpl w:val="C7D6DB6A"/>
    <w:lvl w:ilvl="0">
      <w:start w:val="1"/>
      <w:numFmt w:val="decimal"/>
      <w:lvlRestart w:val="0"/>
      <w:pStyle w:val="hNumber1"/>
      <w:isLg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bullet"/>
      <w:lvlText w:val=""/>
      <w:lvlJc w:val="left"/>
      <w:pPr>
        <w:tabs>
          <w:tab w:val="num" w:pos="2268"/>
        </w:tabs>
        <w:ind w:left="2268" w:hanging="567"/>
      </w:pPr>
      <w:rPr>
        <w:rFonts w:hint="default" w:ascii="Symbol" w:hAnsi="Symbol"/>
      </w:rPr>
    </w:lvl>
    <w:lvl w:ilvl="4">
      <w:start w:val="1"/>
      <w:numFmt w:val="bullet"/>
      <w:lvlText w:val="-"/>
      <w:lvlJc w:val="left"/>
      <w:pPr>
        <w:tabs>
          <w:tab w:val="num" w:pos="2835"/>
        </w:tabs>
        <w:ind w:left="2835" w:hanging="567"/>
      </w:pPr>
      <w:rPr>
        <w:rFonts w:hint="default" w:ascii="Arial" w:hAnsi="Arial"/>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DCD27B5"/>
    <w:multiLevelType w:val="hybridMultilevel"/>
    <w:tmpl w:val="1FC053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E266BE6"/>
    <w:multiLevelType w:val="hybridMultilevel"/>
    <w:tmpl w:val="BA30452A"/>
    <w:lvl w:ilvl="0" w:tplc="EE3C1B28">
      <w:start w:val="1"/>
      <w:numFmt w:val="bullet"/>
      <w:pStyle w:val="hBullet3"/>
      <w:lvlText w:val=""/>
      <w:lvlJc w:val="left"/>
      <w:pPr>
        <w:tabs>
          <w:tab w:val="num" w:pos="567"/>
        </w:tabs>
        <w:ind w:left="567" w:hanging="567"/>
      </w:pPr>
      <w:rPr>
        <w:rFonts w:hint="default" w:ascii="Symbol" w:hAnsi="Symbol"/>
        <w:b w:val="0"/>
        <w:i w:val="0"/>
        <w:sz w:val="22"/>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1F877DC"/>
    <w:multiLevelType w:val="multilevel"/>
    <w:tmpl w:val="D1CE6626"/>
    <w:numStyleLink w:val="BulletList"/>
  </w:abstractNum>
  <w:abstractNum w:abstractNumId="6" w15:restartNumberingAfterBreak="0">
    <w:nsid w:val="12364C56"/>
    <w:multiLevelType w:val="hybridMultilevel"/>
    <w:tmpl w:val="6BCAC6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3B0789C"/>
    <w:multiLevelType w:val="multilevel"/>
    <w:tmpl w:val="D1CE6626"/>
    <w:styleLink w:val="BulletList"/>
    <w:lvl w:ilvl="0">
      <w:start w:val="1"/>
      <w:numFmt w:val="bullet"/>
      <w:pStyle w:val="ListBullet"/>
      <w:lvlText w:val=""/>
      <w:lvlJc w:val="left"/>
      <w:pPr>
        <w:ind w:left="340" w:hanging="340"/>
      </w:pPr>
      <w:rPr>
        <w:rFonts w:hint="default" w:ascii="Symbol" w:hAnsi="Symbol" w:cs="Symbol"/>
        <w:color w:val="6EC040" w:themeColor="text2"/>
        <w:szCs w:val="28"/>
      </w:rPr>
    </w:lvl>
    <w:lvl w:ilvl="1">
      <w:start w:val="1"/>
      <w:numFmt w:val="bullet"/>
      <w:pStyle w:val="ListBullet2"/>
      <w:lvlText w:val="–"/>
      <w:lvlJc w:val="left"/>
      <w:pPr>
        <w:ind w:left="680" w:hanging="340"/>
      </w:pPr>
      <w:rPr>
        <w:rFonts w:hint="default" w:ascii="Arial" w:hAnsi="Arial" w:cs="Arial"/>
        <w:color w:val="6EC040" w:themeColor="text2"/>
        <w:szCs w:val="28"/>
      </w:rPr>
    </w:lvl>
    <w:lvl w:ilvl="2">
      <w:start w:val="1"/>
      <w:numFmt w:val="bullet"/>
      <w:pStyle w:val="ListBullet3"/>
      <w:lvlText w:val=""/>
      <w:lvlJc w:val="left"/>
      <w:pPr>
        <w:ind w:left="1021" w:hanging="341"/>
      </w:pPr>
      <w:rPr>
        <w:rFonts w:hint="default" w:ascii="Symbol" w:hAnsi="Symbol" w:cs="Symbol"/>
        <w:color w:val="6EC040" w:themeColor="text2"/>
        <w:szCs w:val="28"/>
      </w:rPr>
    </w:lvl>
    <w:lvl w:ilvl="3">
      <w:start w:val="1"/>
      <w:numFmt w:val="bullet"/>
      <w:pStyle w:val="ListBullet4"/>
      <w:lvlText w:val="–"/>
      <w:lvlJc w:val="left"/>
      <w:pPr>
        <w:ind w:left="1361" w:hanging="340"/>
      </w:pPr>
      <w:rPr>
        <w:rFonts w:hint="default" w:ascii="Arial" w:hAnsi="Arial" w:cs="Arial"/>
        <w:color w:val="6EC040" w:themeColor="text2"/>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55A4C39"/>
    <w:multiLevelType w:val="hybridMultilevel"/>
    <w:tmpl w:val="0C963D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176E4E"/>
    <w:multiLevelType w:val="hybridMultilevel"/>
    <w:tmpl w:val="0004D9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8C32DFE"/>
    <w:multiLevelType w:val="hybridMultilevel"/>
    <w:tmpl w:val="0270F598"/>
    <w:lvl w:ilvl="0" w:tplc="08090001">
      <w:start w:val="1"/>
      <w:numFmt w:val="bullet"/>
      <w:lvlText w:val=""/>
      <w:lvlJc w:val="left"/>
      <w:pPr>
        <w:ind w:left="720" w:hanging="360"/>
      </w:pPr>
      <w:rPr>
        <w:rFonts w:hint="default" w:ascii="Symbol" w:hAnsi="Symbol"/>
      </w:rPr>
    </w:lvl>
    <w:lvl w:ilvl="1" w:tplc="C37ACC2E">
      <w:start w:val="3"/>
      <w:numFmt w:val="bullet"/>
      <w:lvlText w:val="-"/>
      <w:lvlJc w:val="left"/>
      <w:pPr>
        <w:ind w:left="1440" w:hanging="360"/>
      </w:pPr>
      <w:rPr>
        <w:rFonts w:hint="default" w:ascii="Arial" w:hAnsi="Arial" w:eastAsia="Times New Roman"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13A78D4"/>
    <w:multiLevelType w:val="multilevel"/>
    <w:tmpl w:val="A642D374"/>
    <w:styleLink w:val="HRNumber"/>
    <w:lvl w:ilvl="0">
      <w:start w:val="1"/>
      <w:numFmt w:val="decimal"/>
      <w:pStyle w:val="NumberHymans"/>
      <w:lvlText w:val="%1"/>
      <w:lvlJc w:val="left"/>
      <w:pPr>
        <w:ind w:left="567" w:hanging="567"/>
      </w:pPr>
      <w:rPr>
        <w:rFonts w:hint="default" w:ascii="Arial" w:hAnsi="Arial"/>
        <w:color w:val="4B4B4B"/>
        <w:sz w:val="20"/>
      </w:rPr>
    </w:lvl>
    <w:lvl w:ilvl="1">
      <w:start w:val="1"/>
      <w:numFmt w:val="decimal"/>
      <w:lvlText w:val="%1.%2"/>
      <w:lvlJc w:val="left"/>
      <w:pPr>
        <w:ind w:left="1134" w:hanging="567"/>
      </w:pPr>
      <w:rPr>
        <w:rFonts w:hint="default" w:ascii="Arial" w:hAnsi="Arial"/>
        <w:color w:val="4B4B4B"/>
        <w:sz w:val="20"/>
      </w:rPr>
    </w:lvl>
    <w:lvl w:ilvl="2">
      <w:start w:val="1"/>
      <w:numFmt w:val="decimal"/>
      <w:lvlText w:val="%1.%2.%3"/>
      <w:lvlJc w:val="left"/>
      <w:pPr>
        <w:ind w:left="1701" w:hanging="567"/>
      </w:pPr>
      <w:rPr>
        <w:rFonts w:hint="default" w:ascii="Arial" w:hAnsi="Arial"/>
        <w:color w:val="4B4B4B"/>
        <w:sz w:val="20"/>
      </w:rPr>
    </w:lvl>
    <w:lvl w:ilvl="3">
      <w:start w:val="1"/>
      <w:numFmt w:val="decimal"/>
      <w:lvlText w:val="%1.%2.%3.%4"/>
      <w:lvlJc w:val="left"/>
      <w:pPr>
        <w:ind w:left="1728" w:hanging="648"/>
      </w:pPr>
      <w:rPr>
        <w:rFonts w:hint="default" w:ascii="Arial" w:hAnsi="Arial"/>
        <w:color w:val="auto"/>
        <w:sz w:val="20"/>
      </w:rPr>
    </w:lvl>
    <w:lvl w:ilvl="4">
      <w:start w:val="1"/>
      <w:numFmt w:val="decimal"/>
      <w:lvlText w:val="%1.%2.%3.%4.%5"/>
      <w:lvlJc w:val="left"/>
      <w:pPr>
        <w:ind w:left="2232" w:hanging="792"/>
      </w:pPr>
      <w:rPr>
        <w:rFonts w:hint="default" w:ascii="Arial" w:hAnsi="Arial"/>
        <w:color w:val="auto"/>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480527"/>
    <w:multiLevelType w:val="hybridMultilevel"/>
    <w:tmpl w:val="00E0CB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320DE5"/>
    <w:multiLevelType w:val="hybridMultilevel"/>
    <w:tmpl w:val="5670902C"/>
    <w:lvl w:ilvl="0" w:tplc="08090001">
      <w:start w:val="1"/>
      <w:numFmt w:val="bullet"/>
      <w:lvlText w:val=""/>
      <w:lvlJc w:val="left"/>
      <w:pPr>
        <w:ind w:left="720" w:hanging="360"/>
      </w:pPr>
      <w:rPr>
        <w:rFonts w:hint="default" w:ascii="Symbol" w:hAnsi="Symbo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8079BC"/>
    <w:multiLevelType w:val="hybridMultilevel"/>
    <w:tmpl w:val="0B9478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7685F0F"/>
    <w:multiLevelType w:val="multilevel"/>
    <w:tmpl w:val="1D2A13C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9"/>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81F41E6"/>
    <w:multiLevelType w:val="multilevel"/>
    <w:tmpl w:val="5E7631A4"/>
    <w:styleLink w:val="HRBullet"/>
    <w:lvl w:ilvl="0">
      <w:start w:val="1"/>
      <w:numFmt w:val="bullet"/>
      <w:pStyle w:val="BulletHymans"/>
      <w:lvlText w:val=""/>
      <w:lvlJc w:val="left"/>
      <w:pPr>
        <w:ind w:left="567" w:hanging="567"/>
      </w:pPr>
      <w:rPr>
        <w:rFonts w:hint="default" w:ascii="Symbol" w:hAnsi="Symbol"/>
        <w:color w:val="4B4B4B"/>
        <w:sz w:val="20"/>
      </w:rPr>
    </w:lvl>
    <w:lvl w:ilvl="1">
      <w:start w:val="1"/>
      <w:numFmt w:val="none"/>
      <w:lvlText w:val="%2-"/>
      <w:lvlJc w:val="left"/>
      <w:pPr>
        <w:ind w:left="1134" w:hanging="567"/>
      </w:pPr>
      <w:rPr>
        <w:rFonts w:hint="default"/>
        <w:color w:val="4B4B4B"/>
        <w:sz w:val="20"/>
      </w:rPr>
    </w:lvl>
    <w:lvl w:ilvl="2">
      <w:start w:val="1"/>
      <w:numFmt w:val="bullet"/>
      <w:lvlText w:val=""/>
      <w:lvlJc w:val="left"/>
      <w:pPr>
        <w:ind w:left="1701" w:hanging="567"/>
      </w:pPr>
      <w:rPr>
        <w:rFonts w:hint="default" w:ascii="Symbol" w:hAnsi="Symbol"/>
        <w:color w:val="4B4B4B"/>
      </w:rPr>
    </w:lvl>
    <w:lvl w:ilvl="3">
      <w:start w:val="1"/>
      <w:numFmt w:val="none"/>
      <w:lvlText w:val="-"/>
      <w:lvlJc w:val="left"/>
      <w:pPr>
        <w:ind w:left="1701" w:hanging="567"/>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E4A5DC1"/>
    <w:multiLevelType w:val="multilevel"/>
    <w:tmpl w:val="6346F4A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3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4361BE4"/>
    <w:multiLevelType w:val="hybridMultilevel"/>
    <w:tmpl w:val="73A864C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558B0784"/>
    <w:multiLevelType w:val="hybridMultilevel"/>
    <w:tmpl w:val="2B28F07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5DD3382E"/>
    <w:multiLevelType w:val="hybridMultilevel"/>
    <w:tmpl w:val="AE36D16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647D4F94"/>
    <w:multiLevelType w:val="hybridMultilevel"/>
    <w:tmpl w:val="AE36D16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67C12202"/>
    <w:multiLevelType w:val="hybridMultilevel"/>
    <w:tmpl w:val="D284B8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8486361"/>
    <w:multiLevelType w:val="hybridMultilevel"/>
    <w:tmpl w:val="C40A64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B155776"/>
    <w:multiLevelType w:val="hybridMultilevel"/>
    <w:tmpl w:val="FF60C7A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B7945A6"/>
    <w:multiLevelType w:val="multilevel"/>
    <w:tmpl w:val="B538BD02"/>
    <w:lvl w:ilvl="0">
      <w:start w:val="1"/>
      <w:numFmt w:val="bullet"/>
      <w:lvlRestart w:val="0"/>
      <w:pStyle w:val="hBullets"/>
      <w:lvlText w:val=""/>
      <w:lvlJc w:val="left"/>
      <w:pPr>
        <w:tabs>
          <w:tab w:val="num" w:pos="567"/>
        </w:tabs>
        <w:ind w:left="567" w:hanging="567"/>
      </w:pPr>
      <w:rPr>
        <w:rFonts w:hint="default" w:ascii="Symbol" w:hAnsi="Symbol"/>
        <w:b w:val="0"/>
        <w:i w:val="0"/>
        <w:color w:val="4B4B4B"/>
        <w:sz w:val="20"/>
        <w:szCs w:val="20"/>
      </w:rPr>
    </w:lvl>
    <w:lvl w:ilvl="1">
      <w:start w:val="1"/>
      <w:numFmt w:val="bullet"/>
      <w:lvlText w:val="-"/>
      <w:lvlJc w:val="left"/>
      <w:pPr>
        <w:tabs>
          <w:tab w:val="num" w:pos="1134"/>
        </w:tabs>
        <w:ind w:left="1134" w:hanging="567"/>
      </w:pPr>
      <w:rPr>
        <w:rFonts w:hint="default" w:ascii="Arial" w:hAnsi="Arial"/>
        <w:b w:val="0"/>
        <w:i w:val="0"/>
        <w:color w:val="4B4B4B"/>
        <w:sz w:val="20"/>
        <w:szCs w:val="20"/>
      </w:rPr>
    </w:lvl>
    <w:lvl w:ilvl="2">
      <w:start w:val="1"/>
      <w:numFmt w:val="bullet"/>
      <w:lvlText w:val=""/>
      <w:lvlJc w:val="left"/>
      <w:pPr>
        <w:tabs>
          <w:tab w:val="num" w:pos="1701"/>
        </w:tabs>
        <w:ind w:left="1701" w:hanging="567"/>
      </w:pPr>
      <w:rPr>
        <w:rFonts w:hint="default" w:ascii="Symbol" w:hAnsi="Symbol"/>
        <w:b w:val="0"/>
        <w:i w:val="0"/>
        <w:color w:val="4B4B4B"/>
        <w:sz w:val="20"/>
        <w:szCs w:val="20"/>
      </w:rPr>
    </w:lvl>
    <w:lvl w:ilvl="3">
      <w:start w:val="1"/>
      <w:numFmt w:val="bullet"/>
      <w:lvlText w:val=""/>
      <w:lvlJc w:val="left"/>
      <w:pPr>
        <w:tabs>
          <w:tab w:val="num" w:pos="2835"/>
        </w:tabs>
        <w:ind w:left="2835" w:hanging="567"/>
      </w:pPr>
      <w:rPr>
        <w:rFonts w:hint="default" w:ascii="Symbol" w:hAnsi="Symbol"/>
        <w:b w:val="0"/>
        <w:i w:val="0"/>
        <w:color w:val="auto"/>
        <w:sz w:val="22"/>
      </w:rPr>
    </w:lvl>
    <w:lvl w:ilvl="4">
      <w:start w:val="1"/>
      <w:numFmt w:val="bullet"/>
      <w:lvlText w:val="·"/>
      <w:lvlJc w:val="left"/>
      <w:pPr>
        <w:tabs>
          <w:tab w:val="num" w:pos="1418"/>
        </w:tabs>
        <w:ind w:left="1418" w:hanging="567"/>
      </w:pPr>
      <w:rPr>
        <w:rFonts w:hint="default" w:ascii="Symbol" w:hAnsi="Symbol"/>
        <w:b w:val="0"/>
        <w:i w:val="0"/>
        <w:color w:val="auto"/>
        <w:sz w:val="22"/>
      </w:rPr>
    </w:lvl>
    <w:lvl w:ilvl="5">
      <w:start w:val="1"/>
      <w:numFmt w:val="bullet"/>
      <w:lvlText w:val="·"/>
      <w:lvlJc w:val="left"/>
      <w:pPr>
        <w:tabs>
          <w:tab w:val="num" w:pos="1985"/>
        </w:tabs>
        <w:ind w:left="1985" w:hanging="567"/>
      </w:pPr>
      <w:rPr>
        <w:rFonts w:hint="default" w:ascii="Symbol" w:hAnsi="Symbol"/>
        <w:b w:val="0"/>
        <w:i w:val="0"/>
        <w:color w:val="auto"/>
        <w:sz w:val="22"/>
      </w:rPr>
    </w:lvl>
    <w:lvl w:ilvl="6">
      <w:start w:val="1"/>
      <w:numFmt w:val="bullet"/>
      <w:lvlRestart w:val="0"/>
      <w:lvlText w:val="·"/>
      <w:lvlJc w:val="left"/>
      <w:pPr>
        <w:tabs>
          <w:tab w:val="num" w:pos="851"/>
        </w:tabs>
        <w:ind w:left="851" w:hanging="851"/>
      </w:pPr>
      <w:rPr>
        <w:rFonts w:hint="default" w:ascii="Symbol" w:hAnsi="Symbol"/>
        <w:b w:val="0"/>
        <w:i w:val="0"/>
        <w:color w:val="auto"/>
        <w:sz w:val="22"/>
      </w:rPr>
    </w:lvl>
    <w:lvl w:ilvl="7">
      <w:start w:val="1"/>
      <w:numFmt w:val="bullet"/>
      <w:lvlRestart w:val="0"/>
      <w:lvlText w:val="·"/>
      <w:lvlJc w:val="left"/>
      <w:pPr>
        <w:tabs>
          <w:tab w:val="num" w:pos="1418"/>
        </w:tabs>
        <w:ind w:left="1418" w:hanging="567"/>
      </w:pPr>
      <w:rPr>
        <w:rFonts w:hint="default" w:ascii="Symbol" w:hAnsi="Symbol"/>
        <w:b w:val="0"/>
        <w:i w:val="0"/>
        <w:color w:val="auto"/>
        <w:sz w:val="22"/>
      </w:rPr>
    </w:lvl>
    <w:lvl w:ilvl="8">
      <w:start w:val="1"/>
      <w:numFmt w:val="bullet"/>
      <w:lvlText w:val="·"/>
      <w:lvlJc w:val="left"/>
      <w:pPr>
        <w:tabs>
          <w:tab w:val="num" w:pos="1985"/>
        </w:tabs>
        <w:ind w:left="1985" w:hanging="567"/>
      </w:pPr>
      <w:rPr>
        <w:rFonts w:hint="default" w:ascii="Symbol" w:hAnsi="Symbol"/>
        <w:b w:val="0"/>
        <w:i w:val="0"/>
        <w:color w:val="auto"/>
        <w:sz w:val="22"/>
      </w:rPr>
    </w:lvl>
  </w:abstractNum>
  <w:abstractNum w:abstractNumId="26" w15:restartNumberingAfterBreak="0">
    <w:nsid w:val="6BB0084C"/>
    <w:multiLevelType w:val="hybridMultilevel"/>
    <w:tmpl w:val="00E0CB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0E2211"/>
    <w:multiLevelType w:val="hybridMultilevel"/>
    <w:tmpl w:val="5A747B5E"/>
    <w:lvl w:ilvl="0" w:tplc="37F066BE">
      <w:start w:val="1"/>
      <w:numFmt w:val="decimal"/>
      <w:pStyle w:val="TenderQuestion"/>
      <w:lvlText w:val="Q%1."/>
      <w:lvlJc w:val="left"/>
      <w:pPr>
        <w:ind w:left="720" w:hanging="360"/>
      </w:pPr>
      <w:rPr>
        <w:rFonts w:hint="default"/>
        <w:color w:val="3FA6CC"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7825E7"/>
    <w:multiLevelType w:val="multilevel"/>
    <w:tmpl w:val="567E87DA"/>
    <w:lvl w:ilvl="0">
      <w:start w:val="1"/>
      <w:numFmt w:val="bullet"/>
      <w:pStyle w:val="hBullet1"/>
      <w:lvlText w:val="·"/>
      <w:lvlJc w:val="left"/>
      <w:pPr>
        <w:tabs>
          <w:tab w:val="num" w:pos="851"/>
        </w:tabs>
        <w:ind w:left="851" w:hanging="851"/>
      </w:pPr>
      <w:rPr>
        <w:rFonts w:hint="default" w:ascii="Symbol" w:hAnsi="Symbol"/>
        <w:color w:val="auto"/>
      </w:rPr>
    </w:lvl>
    <w:lvl w:ilvl="1">
      <w:start w:val="1"/>
      <w:numFmt w:val="bullet"/>
      <w:lvlText w:val="·"/>
      <w:lvlJc w:val="left"/>
      <w:pPr>
        <w:tabs>
          <w:tab w:val="num" w:pos="1418"/>
        </w:tabs>
        <w:ind w:left="1418" w:hanging="567"/>
      </w:pPr>
      <w:rPr>
        <w:rFonts w:hint="default" w:ascii="Symbol" w:hAnsi="Symbol"/>
        <w:color w:val="auto"/>
      </w:rPr>
    </w:lvl>
    <w:lvl w:ilvl="2">
      <w:start w:val="1"/>
      <w:numFmt w:val="bullet"/>
      <w:lvlText w:val="·"/>
      <w:lvlJc w:val="left"/>
      <w:pPr>
        <w:tabs>
          <w:tab w:val="num" w:pos="1985"/>
        </w:tabs>
        <w:ind w:left="1985" w:hanging="567"/>
      </w:pPr>
      <w:rPr>
        <w:rFonts w:hint="default" w:ascii="Symbol" w:hAnsi="Symbol"/>
        <w:color w:val="auto"/>
      </w:rPr>
    </w:lvl>
    <w:lvl w:ilvl="3">
      <w:start w:val="1"/>
      <w:numFmt w:val="bullet"/>
      <w:lvlText w:val="·"/>
      <w:lvlJc w:val="left"/>
      <w:pPr>
        <w:tabs>
          <w:tab w:val="num" w:pos="1418"/>
        </w:tabs>
        <w:ind w:left="1418" w:hanging="567"/>
      </w:pPr>
      <w:rPr>
        <w:rFonts w:hint="default" w:ascii="Symbol" w:hAnsi="Symbol"/>
        <w:color w:val="auto"/>
      </w:rPr>
    </w:lvl>
    <w:lvl w:ilvl="4">
      <w:start w:val="1"/>
      <w:numFmt w:val="bullet"/>
      <w:lvlText w:val="·"/>
      <w:lvlJc w:val="left"/>
      <w:pPr>
        <w:tabs>
          <w:tab w:val="num" w:pos="851"/>
        </w:tabs>
        <w:ind w:left="851" w:hanging="851"/>
      </w:pPr>
      <w:rPr>
        <w:rFonts w:hint="default" w:ascii="Symbol" w:hAnsi="Symbol"/>
        <w:color w:val="auto"/>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79E803A7"/>
    <w:multiLevelType w:val="hybridMultilevel"/>
    <w:tmpl w:val="12C68C94"/>
    <w:lvl w:ilvl="0" w:tplc="E424C0AC">
      <w:start w:val="1"/>
      <w:numFmt w:val="bullet"/>
      <w:pStyle w:val="hBullet2"/>
      <w:lvlText w:val=""/>
      <w:lvlJc w:val="left"/>
      <w:pPr>
        <w:tabs>
          <w:tab w:val="num" w:pos="1418"/>
        </w:tabs>
        <w:ind w:left="1418" w:hanging="567"/>
      </w:pPr>
      <w:rPr>
        <w:rFonts w:hint="default" w:ascii="Symbol" w:hAnsi="Symbol"/>
        <w:b w:val="0"/>
        <w:i w:val="0"/>
        <w:sz w:val="22"/>
      </w:rPr>
    </w:lvl>
    <w:lvl w:ilvl="1" w:tplc="04090003">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7F2034EA"/>
    <w:multiLevelType w:val="hybridMultilevel"/>
    <w:tmpl w:val="E9C02B2E"/>
    <w:lvl w:ilvl="0" w:tplc="D7FCA0EC">
      <w:start w:val="17"/>
      <w:numFmt w:val="bullet"/>
      <w:lvlText w:val="-"/>
      <w:lvlJc w:val="left"/>
      <w:pPr>
        <w:ind w:left="420" w:hanging="36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555316225">
    <w:abstractNumId w:val="1"/>
  </w:num>
  <w:num w:numId="2" w16cid:durableId="1899778003">
    <w:abstractNumId w:val="11"/>
  </w:num>
  <w:num w:numId="3" w16cid:durableId="1952083201">
    <w:abstractNumId w:val="16"/>
  </w:num>
  <w:num w:numId="4" w16cid:durableId="1573392618">
    <w:abstractNumId w:val="28"/>
  </w:num>
  <w:num w:numId="5" w16cid:durableId="1547836192">
    <w:abstractNumId w:val="29"/>
  </w:num>
  <w:num w:numId="6" w16cid:durableId="146436793">
    <w:abstractNumId w:val="4"/>
  </w:num>
  <w:num w:numId="7" w16cid:durableId="1967809753">
    <w:abstractNumId w:val="25"/>
  </w:num>
  <w:num w:numId="8" w16cid:durableId="67121740">
    <w:abstractNumId w:val="2"/>
  </w:num>
  <w:num w:numId="9" w16cid:durableId="1233002614">
    <w:abstractNumId w:val="27"/>
  </w:num>
  <w:num w:numId="10" w16cid:durableId="891161469">
    <w:abstractNumId w:val="1"/>
  </w:num>
  <w:num w:numId="11" w16cid:durableId="1008756430">
    <w:abstractNumId w:val="16"/>
  </w:num>
  <w:num w:numId="12" w16cid:durableId="1437292610">
    <w:abstractNumId w:val="11"/>
  </w:num>
  <w:num w:numId="13" w16cid:durableId="972633318">
    <w:abstractNumId w:val="9"/>
  </w:num>
  <w:num w:numId="14" w16cid:durableId="2143645188">
    <w:abstractNumId w:val="20"/>
  </w:num>
  <w:num w:numId="15" w16cid:durableId="1547521447">
    <w:abstractNumId w:val="15"/>
  </w:num>
  <w:num w:numId="16" w16cid:durableId="1831867593">
    <w:abstractNumId w:val="17"/>
  </w:num>
  <w:num w:numId="17" w16cid:durableId="1843858667">
    <w:abstractNumId w:val="21"/>
  </w:num>
  <w:num w:numId="18" w16cid:durableId="1242065892">
    <w:abstractNumId w:val="24"/>
  </w:num>
  <w:num w:numId="19" w16cid:durableId="1092822591">
    <w:abstractNumId w:val="10"/>
  </w:num>
  <w:num w:numId="20" w16cid:durableId="2022508054">
    <w:abstractNumId w:val="22"/>
  </w:num>
  <w:num w:numId="21" w16cid:durableId="50622249">
    <w:abstractNumId w:val="13"/>
  </w:num>
  <w:num w:numId="22" w16cid:durableId="1218786978">
    <w:abstractNumId w:val="23"/>
  </w:num>
  <w:num w:numId="23" w16cid:durableId="1664118571">
    <w:abstractNumId w:val="12"/>
  </w:num>
  <w:num w:numId="24" w16cid:durableId="572545463">
    <w:abstractNumId w:val="0"/>
  </w:num>
  <w:num w:numId="25" w16cid:durableId="1103495773">
    <w:abstractNumId w:val="8"/>
  </w:num>
  <w:num w:numId="26" w16cid:durableId="499585356">
    <w:abstractNumId w:val="26"/>
  </w:num>
  <w:num w:numId="27" w16cid:durableId="1775516463">
    <w:abstractNumId w:val="1"/>
    <w:lvlOverride w:ilvl="0">
      <w:startOverride w:val="3"/>
    </w:lvlOverride>
    <w:lvlOverride w:ilvl="1">
      <w:startOverride w:val="2"/>
    </w:lvlOverride>
  </w:num>
  <w:num w:numId="28" w16cid:durableId="163982708">
    <w:abstractNumId w:val="1"/>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29" w16cid:durableId="208437546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5328709">
    <w:abstractNumId w:val="18"/>
  </w:num>
  <w:num w:numId="31" w16cid:durableId="119108602">
    <w:abstractNumId w:val="3"/>
  </w:num>
  <w:num w:numId="32" w16cid:durableId="943270052">
    <w:abstractNumId w:val="6"/>
  </w:num>
  <w:num w:numId="33" w16cid:durableId="341443318">
    <w:abstractNumId w:val="14"/>
  </w:num>
  <w:num w:numId="34" w16cid:durableId="1198734892">
    <w:abstractNumId w:val="19"/>
  </w:num>
  <w:num w:numId="35" w16cid:durableId="157768813">
    <w:abstractNumId w:val="7"/>
  </w:num>
  <w:num w:numId="36" w16cid:durableId="980572953">
    <w:abstractNumId w:val="5"/>
  </w:num>
  <w:num w:numId="37" w16cid:durableId="1752460304">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lickAndTypeStyle w:val="BodyText"/>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7C1"/>
    <w:rsid w:val="00002E6C"/>
    <w:rsid w:val="000043A6"/>
    <w:rsid w:val="0000606C"/>
    <w:rsid w:val="00007CB5"/>
    <w:rsid w:val="00011AED"/>
    <w:rsid w:val="000164F3"/>
    <w:rsid w:val="00024025"/>
    <w:rsid w:val="00026B6B"/>
    <w:rsid w:val="0005076C"/>
    <w:rsid w:val="000536BE"/>
    <w:rsid w:val="00053A79"/>
    <w:rsid w:val="00055D89"/>
    <w:rsid w:val="000620F6"/>
    <w:rsid w:val="00073115"/>
    <w:rsid w:val="00073204"/>
    <w:rsid w:val="00073A75"/>
    <w:rsid w:val="00076EDF"/>
    <w:rsid w:val="00077056"/>
    <w:rsid w:val="0008025A"/>
    <w:rsid w:val="000812F1"/>
    <w:rsid w:val="000821C5"/>
    <w:rsid w:val="00082323"/>
    <w:rsid w:val="00085892"/>
    <w:rsid w:val="00090291"/>
    <w:rsid w:val="000933B9"/>
    <w:rsid w:val="00095CDF"/>
    <w:rsid w:val="00096AA1"/>
    <w:rsid w:val="00096E6F"/>
    <w:rsid w:val="00097FC2"/>
    <w:rsid w:val="000A37B5"/>
    <w:rsid w:val="000A68EC"/>
    <w:rsid w:val="000B28C4"/>
    <w:rsid w:val="000B6CAB"/>
    <w:rsid w:val="000C1401"/>
    <w:rsid w:val="000D68A0"/>
    <w:rsid w:val="000E1555"/>
    <w:rsid w:val="000E21D1"/>
    <w:rsid w:val="000E5361"/>
    <w:rsid w:val="000F0000"/>
    <w:rsid w:val="000F31CE"/>
    <w:rsid w:val="000F3E2D"/>
    <w:rsid w:val="000F4A55"/>
    <w:rsid w:val="000F4C83"/>
    <w:rsid w:val="000F5F16"/>
    <w:rsid w:val="000F7871"/>
    <w:rsid w:val="0010616D"/>
    <w:rsid w:val="001203D8"/>
    <w:rsid w:val="00120909"/>
    <w:rsid w:val="00126FE1"/>
    <w:rsid w:val="001307E4"/>
    <w:rsid w:val="00133BD0"/>
    <w:rsid w:val="00133D70"/>
    <w:rsid w:val="001346EF"/>
    <w:rsid w:val="001368BD"/>
    <w:rsid w:val="00140798"/>
    <w:rsid w:val="0014257D"/>
    <w:rsid w:val="00143CF9"/>
    <w:rsid w:val="001443DE"/>
    <w:rsid w:val="00152390"/>
    <w:rsid w:val="00155A0C"/>
    <w:rsid w:val="00156F81"/>
    <w:rsid w:val="00157509"/>
    <w:rsid w:val="00161697"/>
    <w:rsid w:val="0016550A"/>
    <w:rsid w:val="00165C16"/>
    <w:rsid w:val="00166D59"/>
    <w:rsid w:val="00171D88"/>
    <w:rsid w:val="00171DE5"/>
    <w:rsid w:val="00172D2C"/>
    <w:rsid w:val="0017397C"/>
    <w:rsid w:val="00173A57"/>
    <w:rsid w:val="00174154"/>
    <w:rsid w:val="00176CAC"/>
    <w:rsid w:val="001829C1"/>
    <w:rsid w:val="00191DE5"/>
    <w:rsid w:val="00193782"/>
    <w:rsid w:val="0019540C"/>
    <w:rsid w:val="001960AC"/>
    <w:rsid w:val="001B193E"/>
    <w:rsid w:val="001B7F37"/>
    <w:rsid w:val="001C1890"/>
    <w:rsid w:val="001C25D0"/>
    <w:rsid w:val="001C583F"/>
    <w:rsid w:val="001D0EBC"/>
    <w:rsid w:val="001E2CD9"/>
    <w:rsid w:val="001E37EF"/>
    <w:rsid w:val="001E75D9"/>
    <w:rsid w:val="001E7E5F"/>
    <w:rsid w:val="001F0925"/>
    <w:rsid w:val="001F09A9"/>
    <w:rsid w:val="001F4446"/>
    <w:rsid w:val="001F5FDD"/>
    <w:rsid w:val="001F7693"/>
    <w:rsid w:val="00200072"/>
    <w:rsid w:val="0021004D"/>
    <w:rsid w:val="00211010"/>
    <w:rsid w:val="0022131D"/>
    <w:rsid w:val="002231A3"/>
    <w:rsid w:val="00226F40"/>
    <w:rsid w:val="002365DA"/>
    <w:rsid w:val="002401D2"/>
    <w:rsid w:val="0024262D"/>
    <w:rsid w:val="00244D72"/>
    <w:rsid w:val="002462F4"/>
    <w:rsid w:val="00247AF9"/>
    <w:rsid w:val="00251069"/>
    <w:rsid w:val="002535F9"/>
    <w:rsid w:val="0026735E"/>
    <w:rsid w:val="002762FF"/>
    <w:rsid w:val="00283023"/>
    <w:rsid w:val="002840B5"/>
    <w:rsid w:val="00286C95"/>
    <w:rsid w:val="00290914"/>
    <w:rsid w:val="002933D4"/>
    <w:rsid w:val="0029436C"/>
    <w:rsid w:val="00295928"/>
    <w:rsid w:val="00297CA1"/>
    <w:rsid w:val="002A5B4C"/>
    <w:rsid w:val="002A7AF5"/>
    <w:rsid w:val="002B660A"/>
    <w:rsid w:val="002C346B"/>
    <w:rsid w:val="002C49A5"/>
    <w:rsid w:val="002C61C8"/>
    <w:rsid w:val="002C77A8"/>
    <w:rsid w:val="002D6871"/>
    <w:rsid w:val="002E1AD7"/>
    <w:rsid w:val="002E4964"/>
    <w:rsid w:val="002E602D"/>
    <w:rsid w:val="002F429B"/>
    <w:rsid w:val="00302D29"/>
    <w:rsid w:val="00306CD1"/>
    <w:rsid w:val="00307D84"/>
    <w:rsid w:val="003138A3"/>
    <w:rsid w:val="003158E3"/>
    <w:rsid w:val="00316C68"/>
    <w:rsid w:val="0031778E"/>
    <w:rsid w:val="0031795F"/>
    <w:rsid w:val="00321996"/>
    <w:rsid w:val="00324B81"/>
    <w:rsid w:val="0033060F"/>
    <w:rsid w:val="0033119B"/>
    <w:rsid w:val="003313EF"/>
    <w:rsid w:val="00334487"/>
    <w:rsid w:val="00335743"/>
    <w:rsid w:val="00335AA2"/>
    <w:rsid w:val="00336CCD"/>
    <w:rsid w:val="0033788B"/>
    <w:rsid w:val="003429B2"/>
    <w:rsid w:val="00343B3D"/>
    <w:rsid w:val="00343EBE"/>
    <w:rsid w:val="003502FA"/>
    <w:rsid w:val="00350DC3"/>
    <w:rsid w:val="0035108E"/>
    <w:rsid w:val="003520C8"/>
    <w:rsid w:val="00352A1D"/>
    <w:rsid w:val="003541A9"/>
    <w:rsid w:val="003563E0"/>
    <w:rsid w:val="00361209"/>
    <w:rsid w:val="00361523"/>
    <w:rsid w:val="00361934"/>
    <w:rsid w:val="003628F3"/>
    <w:rsid w:val="003677AB"/>
    <w:rsid w:val="00372359"/>
    <w:rsid w:val="00375BEE"/>
    <w:rsid w:val="00375E11"/>
    <w:rsid w:val="00377BBE"/>
    <w:rsid w:val="0038129E"/>
    <w:rsid w:val="00383386"/>
    <w:rsid w:val="0038594D"/>
    <w:rsid w:val="00386415"/>
    <w:rsid w:val="00390990"/>
    <w:rsid w:val="00392096"/>
    <w:rsid w:val="00393BA1"/>
    <w:rsid w:val="00394272"/>
    <w:rsid w:val="00394A11"/>
    <w:rsid w:val="003A4DFA"/>
    <w:rsid w:val="003A6943"/>
    <w:rsid w:val="003A7E03"/>
    <w:rsid w:val="003B09EF"/>
    <w:rsid w:val="003C46A0"/>
    <w:rsid w:val="003C6E1B"/>
    <w:rsid w:val="003C7803"/>
    <w:rsid w:val="003D08BD"/>
    <w:rsid w:val="003E1E71"/>
    <w:rsid w:val="003E27AA"/>
    <w:rsid w:val="003E628E"/>
    <w:rsid w:val="003F0A5E"/>
    <w:rsid w:val="003F0D70"/>
    <w:rsid w:val="003F2370"/>
    <w:rsid w:val="003F37F4"/>
    <w:rsid w:val="003F5846"/>
    <w:rsid w:val="003F5BAE"/>
    <w:rsid w:val="00400B4C"/>
    <w:rsid w:val="00401EA1"/>
    <w:rsid w:val="004026E1"/>
    <w:rsid w:val="0040299C"/>
    <w:rsid w:val="00407CF3"/>
    <w:rsid w:val="00421180"/>
    <w:rsid w:val="0042175E"/>
    <w:rsid w:val="00425E54"/>
    <w:rsid w:val="00431115"/>
    <w:rsid w:val="00432A05"/>
    <w:rsid w:val="00434D57"/>
    <w:rsid w:val="00440EA8"/>
    <w:rsid w:val="00443599"/>
    <w:rsid w:val="00446199"/>
    <w:rsid w:val="00446FFA"/>
    <w:rsid w:val="00447626"/>
    <w:rsid w:val="0045375A"/>
    <w:rsid w:val="00454351"/>
    <w:rsid w:val="00455418"/>
    <w:rsid w:val="00462A47"/>
    <w:rsid w:val="00463533"/>
    <w:rsid w:val="00467B56"/>
    <w:rsid w:val="0047387F"/>
    <w:rsid w:val="00475DB0"/>
    <w:rsid w:val="004765CC"/>
    <w:rsid w:val="00490DCA"/>
    <w:rsid w:val="00496B48"/>
    <w:rsid w:val="00497E25"/>
    <w:rsid w:val="004A08BD"/>
    <w:rsid w:val="004A7A35"/>
    <w:rsid w:val="004B763E"/>
    <w:rsid w:val="004B7C6A"/>
    <w:rsid w:val="004C14AE"/>
    <w:rsid w:val="004C17E5"/>
    <w:rsid w:val="004C2543"/>
    <w:rsid w:val="004C2C26"/>
    <w:rsid w:val="004C5276"/>
    <w:rsid w:val="004C59A5"/>
    <w:rsid w:val="004C7920"/>
    <w:rsid w:val="004D0C0B"/>
    <w:rsid w:val="004D1EDE"/>
    <w:rsid w:val="004D2949"/>
    <w:rsid w:val="004D4552"/>
    <w:rsid w:val="004D47F3"/>
    <w:rsid w:val="004D601C"/>
    <w:rsid w:val="004D703F"/>
    <w:rsid w:val="004E4512"/>
    <w:rsid w:val="004E4E0A"/>
    <w:rsid w:val="004E54E7"/>
    <w:rsid w:val="004F1C70"/>
    <w:rsid w:val="004F2517"/>
    <w:rsid w:val="004F4283"/>
    <w:rsid w:val="004F4319"/>
    <w:rsid w:val="004F705D"/>
    <w:rsid w:val="00511F30"/>
    <w:rsid w:val="00517F6F"/>
    <w:rsid w:val="00523579"/>
    <w:rsid w:val="00523F4A"/>
    <w:rsid w:val="00524177"/>
    <w:rsid w:val="00527BE4"/>
    <w:rsid w:val="00530D6D"/>
    <w:rsid w:val="00532353"/>
    <w:rsid w:val="00536C95"/>
    <w:rsid w:val="005423F1"/>
    <w:rsid w:val="0054267E"/>
    <w:rsid w:val="00543BD8"/>
    <w:rsid w:val="0054479C"/>
    <w:rsid w:val="00547723"/>
    <w:rsid w:val="00547936"/>
    <w:rsid w:val="00552566"/>
    <w:rsid w:val="005555ED"/>
    <w:rsid w:val="00560CD7"/>
    <w:rsid w:val="0056170F"/>
    <w:rsid w:val="00561E92"/>
    <w:rsid w:val="00562E17"/>
    <w:rsid w:val="005643DC"/>
    <w:rsid w:val="005658F7"/>
    <w:rsid w:val="005663B7"/>
    <w:rsid w:val="00571309"/>
    <w:rsid w:val="005773D9"/>
    <w:rsid w:val="0057761B"/>
    <w:rsid w:val="005969E5"/>
    <w:rsid w:val="005A55DF"/>
    <w:rsid w:val="005B1592"/>
    <w:rsid w:val="005B4BA4"/>
    <w:rsid w:val="005B52DE"/>
    <w:rsid w:val="005C12AC"/>
    <w:rsid w:val="005C24AE"/>
    <w:rsid w:val="005C4414"/>
    <w:rsid w:val="005C6114"/>
    <w:rsid w:val="005D02DB"/>
    <w:rsid w:val="005D4C6E"/>
    <w:rsid w:val="005D4E27"/>
    <w:rsid w:val="005D72CC"/>
    <w:rsid w:val="005E404C"/>
    <w:rsid w:val="005E4BE7"/>
    <w:rsid w:val="005E5E08"/>
    <w:rsid w:val="00604C72"/>
    <w:rsid w:val="00605EF4"/>
    <w:rsid w:val="0061696E"/>
    <w:rsid w:val="00622C78"/>
    <w:rsid w:val="00625DC3"/>
    <w:rsid w:val="00634F61"/>
    <w:rsid w:val="006356A0"/>
    <w:rsid w:val="00641E34"/>
    <w:rsid w:val="00642DD9"/>
    <w:rsid w:val="00643E0F"/>
    <w:rsid w:val="00652ED2"/>
    <w:rsid w:val="00654BB3"/>
    <w:rsid w:val="00655FE2"/>
    <w:rsid w:val="00656968"/>
    <w:rsid w:val="0066469C"/>
    <w:rsid w:val="006700AC"/>
    <w:rsid w:val="00670B5F"/>
    <w:rsid w:val="00671A7E"/>
    <w:rsid w:val="00677EC6"/>
    <w:rsid w:val="006906C0"/>
    <w:rsid w:val="00690BEA"/>
    <w:rsid w:val="00691CFD"/>
    <w:rsid w:val="006A2355"/>
    <w:rsid w:val="006A2B37"/>
    <w:rsid w:val="006B0981"/>
    <w:rsid w:val="006B16B8"/>
    <w:rsid w:val="006B4BAF"/>
    <w:rsid w:val="006C020D"/>
    <w:rsid w:val="006C2E18"/>
    <w:rsid w:val="006C5730"/>
    <w:rsid w:val="006C79B6"/>
    <w:rsid w:val="006D1568"/>
    <w:rsid w:val="006D4623"/>
    <w:rsid w:val="006D4910"/>
    <w:rsid w:val="006D5B77"/>
    <w:rsid w:val="006D6685"/>
    <w:rsid w:val="006D74B9"/>
    <w:rsid w:val="006E0409"/>
    <w:rsid w:val="006E259B"/>
    <w:rsid w:val="006E69D1"/>
    <w:rsid w:val="006F0C90"/>
    <w:rsid w:val="006F1A6D"/>
    <w:rsid w:val="006F48DC"/>
    <w:rsid w:val="006F50A2"/>
    <w:rsid w:val="006F5C75"/>
    <w:rsid w:val="006F79D0"/>
    <w:rsid w:val="00710355"/>
    <w:rsid w:val="00712E3E"/>
    <w:rsid w:val="00713309"/>
    <w:rsid w:val="007137BF"/>
    <w:rsid w:val="00717E91"/>
    <w:rsid w:val="00720E34"/>
    <w:rsid w:val="007306C4"/>
    <w:rsid w:val="007336DE"/>
    <w:rsid w:val="00735B4B"/>
    <w:rsid w:val="00741372"/>
    <w:rsid w:val="00745A4B"/>
    <w:rsid w:val="00746529"/>
    <w:rsid w:val="007508DE"/>
    <w:rsid w:val="00750A56"/>
    <w:rsid w:val="0075103E"/>
    <w:rsid w:val="007520FF"/>
    <w:rsid w:val="0075364D"/>
    <w:rsid w:val="00755D3D"/>
    <w:rsid w:val="00755EDB"/>
    <w:rsid w:val="00770FF3"/>
    <w:rsid w:val="00771BF9"/>
    <w:rsid w:val="00772F85"/>
    <w:rsid w:val="00773464"/>
    <w:rsid w:val="00774BAF"/>
    <w:rsid w:val="007755BC"/>
    <w:rsid w:val="007768A3"/>
    <w:rsid w:val="00777896"/>
    <w:rsid w:val="00780797"/>
    <w:rsid w:val="00784299"/>
    <w:rsid w:val="00791AEA"/>
    <w:rsid w:val="00792B2E"/>
    <w:rsid w:val="007A16BD"/>
    <w:rsid w:val="007A201E"/>
    <w:rsid w:val="007A3219"/>
    <w:rsid w:val="007A7454"/>
    <w:rsid w:val="007A7E36"/>
    <w:rsid w:val="007B22B1"/>
    <w:rsid w:val="007B2E3D"/>
    <w:rsid w:val="007B30EE"/>
    <w:rsid w:val="007B6D2D"/>
    <w:rsid w:val="007C02D2"/>
    <w:rsid w:val="007C1C02"/>
    <w:rsid w:val="007C308A"/>
    <w:rsid w:val="007C3E9E"/>
    <w:rsid w:val="007C4112"/>
    <w:rsid w:val="007D35AA"/>
    <w:rsid w:val="007D5023"/>
    <w:rsid w:val="007D73EE"/>
    <w:rsid w:val="007E0767"/>
    <w:rsid w:val="007E3A7D"/>
    <w:rsid w:val="007F0AA2"/>
    <w:rsid w:val="00806B6C"/>
    <w:rsid w:val="00806F5D"/>
    <w:rsid w:val="008118F3"/>
    <w:rsid w:val="008150E2"/>
    <w:rsid w:val="008152E8"/>
    <w:rsid w:val="00816F99"/>
    <w:rsid w:val="00817D2C"/>
    <w:rsid w:val="00820971"/>
    <w:rsid w:val="00826A9A"/>
    <w:rsid w:val="00835C3E"/>
    <w:rsid w:val="0084023C"/>
    <w:rsid w:val="00840460"/>
    <w:rsid w:val="0084238C"/>
    <w:rsid w:val="008427B7"/>
    <w:rsid w:val="008437C2"/>
    <w:rsid w:val="008456B0"/>
    <w:rsid w:val="00845F9C"/>
    <w:rsid w:val="00847FA4"/>
    <w:rsid w:val="008510E5"/>
    <w:rsid w:val="00856857"/>
    <w:rsid w:val="008579AF"/>
    <w:rsid w:val="00862D8F"/>
    <w:rsid w:val="00876F61"/>
    <w:rsid w:val="0087746B"/>
    <w:rsid w:val="008806BD"/>
    <w:rsid w:val="0088600A"/>
    <w:rsid w:val="00886058"/>
    <w:rsid w:val="0089500F"/>
    <w:rsid w:val="008950C5"/>
    <w:rsid w:val="00896593"/>
    <w:rsid w:val="0089780B"/>
    <w:rsid w:val="008A7B40"/>
    <w:rsid w:val="008B1C5A"/>
    <w:rsid w:val="008B1D1C"/>
    <w:rsid w:val="008B3EDD"/>
    <w:rsid w:val="008B55B6"/>
    <w:rsid w:val="008C0E62"/>
    <w:rsid w:val="008C3EF1"/>
    <w:rsid w:val="008C417D"/>
    <w:rsid w:val="008C5A12"/>
    <w:rsid w:val="008C7974"/>
    <w:rsid w:val="008D0C20"/>
    <w:rsid w:val="008D0DF0"/>
    <w:rsid w:val="008D15F5"/>
    <w:rsid w:val="008D392C"/>
    <w:rsid w:val="008D6566"/>
    <w:rsid w:val="008E1627"/>
    <w:rsid w:val="008E241C"/>
    <w:rsid w:val="008E5368"/>
    <w:rsid w:val="008E74C4"/>
    <w:rsid w:val="008F112B"/>
    <w:rsid w:val="008F1926"/>
    <w:rsid w:val="008F19B7"/>
    <w:rsid w:val="008F46CE"/>
    <w:rsid w:val="009042E0"/>
    <w:rsid w:val="009049C0"/>
    <w:rsid w:val="00911815"/>
    <w:rsid w:val="009150FF"/>
    <w:rsid w:val="0092629D"/>
    <w:rsid w:val="00930C1B"/>
    <w:rsid w:val="00933B46"/>
    <w:rsid w:val="00934FE2"/>
    <w:rsid w:val="0093610A"/>
    <w:rsid w:val="00944E44"/>
    <w:rsid w:val="00945623"/>
    <w:rsid w:val="009478C5"/>
    <w:rsid w:val="009528B8"/>
    <w:rsid w:val="009604F1"/>
    <w:rsid w:val="00974CD8"/>
    <w:rsid w:val="00976403"/>
    <w:rsid w:val="00980193"/>
    <w:rsid w:val="00980B86"/>
    <w:rsid w:val="00981D5A"/>
    <w:rsid w:val="0098213E"/>
    <w:rsid w:val="00985497"/>
    <w:rsid w:val="009875D5"/>
    <w:rsid w:val="00991273"/>
    <w:rsid w:val="009B00B1"/>
    <w:rsid w:val="009B0465"/>
    <w:rsid w:val="009B0E44"/>
    <w:rsid w:val="009B1C12"/>
    <w:rsid w:val="009B56D4"/>
    <w:rsid w:val="009C2111"/>
    <w:rsid w:val="009C3B44"/>
    <w:rsid w:val="009C3DA7"/>
    <w:rsid w:val="009D5689"/>
    <w:rsid w:val="009E164C"/>
    <w:rsid w:val="009F0FDC"/>
    <w:rsid w:val="009F2FAC"/>
    <w:rsid w:val="009F3C38"/>
    <w:rsid w:val="00A12FF3"/>
    <w:rsid w:val="00A13261"/>
    <w:rsid w:val="00A133DE"/>
    <w:rsid w:val="00A134C9"/>
    <w:rsid w:val="00A226D4"/>
    <w:rsid w:val="00A22D8D"/>
    <w:rsid w:val="00A232FA"/>
    <w:rsid w:val="00A23FA1"/>
    <w:rsid w:val="00A24384"/>
    <w:rsid w:val="00A276BE"/>
    <w:rsid w:val="00A32B7B"/>
    <w:rsid w:val="00A33693"/>
    <w:rsid w:val="00A359A3"/>
    <w:rsid w:val="00A35DFC"/>
    <w:rsid w:val="00A36B80"/>
    <w:rsid w:val="00A43FC2"/>
    <w:rsid w:val="00A53A65"/>
    <w:rsid w:val="00A54FB2"/>
    <w:rsid w:val="00A60B96"/>
    <w:rsid w:val="00A6135C"/>
    <w:rsid w:val="00A625CF"/>
    <w:rsid w:val="00A637C1"/>
    <w:rsid w:val="00A655FD"/>
    <w:rsid w:val="00A709C7"/>
    <w:rsid w:val="00A73B80"/>
    <w:rsid w:val="00A77BFD"/>
    <w:rsid w:val="00A81AFB"/>
    <w:rsid w:val="00A81D51"/>
    <w:rsid w:val="00AA039F"/>
    <w:rsid w:val="00AB2027"/>
    <w:rsid w:val="00AB529D"/>
    <w:rsid w:val="00AB728A"/>
    <w:rsid w:val="00AB7B53"/>
    <w:rsid w:val="00AD11E6"/>
    <w:rsid w:val="00AD26A6"/>
    <w:rsid w:val="00AD26E1"/>
    <w:rsid w:val="00AD2D81"/>
    <w:rsid w:val="00AD51B4"/>
    <w:rsid w:val="00AD655B"/>
    <w:rsid w:val="00AE1D89"/>
    <w:rsid w:val="00AF44A1"/>
    <w:rsid w:val="00AF6D87"/>
    <w:rsid w:val="00AF7F71"/>
    <w:rsid w:val="00B01428"/>
    <w:rsid w:val="00B02119"/>
    <w:rsid w:val="00B1098B"/>
    <w:rsid w:val="00B12FB9"/>
    <w:rsid w:val="00B13494"/>
    <w:rsid w:val="00B13A78"/>
    <w:rsid w:val="00B15387"/>
    <w:rsid w:val="00B21588"/>
    <w:rsid w:val="00B233F3"/>
    <w:rsid w:val="00B250AC"/>
    <w:rsid w:val="00B26214"/>
    <w:rsid w:val="00B27221"/>
    <w:rsid w:val="00B401FF"/>
    <w:rsid w:val="00B40E6A"/>
    <w:rsid w:val="00B46E5F"/>
    <w:rsid w:val="00B520A4"/>
    <w:rsid w:val="00B56A1E"/>
    <w:rsid w:val="00B63296"/>
    <w:rsid w:val="00B63826"/>
    <w:rsid w:val="00B65A66"/>
    <w:rsid w:val="00B6766D"/>
    <w:rsid w:val="00B712C0"/>
    <w:rsid w:val="00B71323"/>
    <w:rsid w:val="00B71FA4"/>
    <w:rsid w:val="00B73795"/>
    <w:rsid w:val="00B81430"/>
    <w:rsid w:val="00B90A21"/>
    <w:rsid w:val="00B9170A"/>
    <w:rsid w:val="00B93548"/>
    <w:rsid w:val="00B94039"/>
    <w:rsid w:val="00BA1CA2"/>
    <w:rsid w:val="00BA2C1F"/>
    <w:rsid w:val="00BA4F08"/>
    <w:rsid w:val="00BA5AF3"/>
    <w:rsid w:val="00BA6285"/>
    <w:rsid w:val="00BB0F18"/>
    <w:rsid w:val="00BC40B1"/>
    <w:rsid w:val="00BC5C23"/>
    <w:rsid w:val="00BC6BF7"/>
    <w:rsid w:val="00BC6FED"/>
    <w:rsid w:val="00BD0774"/>
    <w:rsid w:val="00BD575D"/>
    <w:rsid w:val="00BD72D9"/>
    <w:rsid w:val="00BE57AA"/>
    <w:rsid w:val="00BF230B"/>
    <w:rsid w:val="00BF376A"/>
    <w:rsid w:val="00BF3F16"/>
    <w:rsid w:val="00BF537C"/>
    <w:rsid w:val="00BF53C5"/>
    <w:rsid w:val="00C03A0D"/>
    <w:rsid w:val="00C04D2F"/>
    <w:rsid w:val="00C0697E"/>
    <w:rsid w:val="00C11502"/>
    <w:rsid w:val="00C11538"/>
    <w:rsid w:val="00C1687D"/>
    <w:rsid w:val="00C2670A"/>
    <w:rsid w:val="00C279EA"/>
    <w:rsid w:val="00C3022F"/>
    <w:rsid w:val="00C33083"/>
    <w:rsid w:val="00C3770F"/>
    <w:rsid w:val="00C40876"/>
    <w:rsid w:val="00C45DC5"/>
    <w:rsid w:val="00C530F9"/>
    <w:rsid w:val="00C540D0"/>
    <w:rsid w:val="00C57515"/>
    <w:rsid w:val="00C60B23"/>
    <w:rsid w:val="00C60B2D"/>
    <w:rsid w:val="00C60CFC"/>
    <w:rsid w:val="00C6384B"/>
    <w:rsid w:val="00C65B39"/>
    <w:rsid w:val="00C71A48"/>
    <w:rsid w:val="00C71AA4"/>
    <w:rsid w:val="00C72AE3"/>
    <w:rsid w:val="00C81DD4"/>
    <w:rsid w:val="00C901C0"/>
    <w:rsid w:val="00C9351C"/>
    <w:rsid w:val="00C94C5D"/>
    <w:rsid w:val="00C96AB5"/>
    <w:rsid w:val="00C97A1C"/>
    <w:rsid w:val="00C97E68"/>
    <w:rsid w:val="00CA08B0"/>
    <w:rsid w:val="00CA166B"/>
    <w:rsid w:val="00CA3B93"/>
    <w:rsid w:val="00CA5113"/>
    <w:rsid w:val="00CA6D5F"/>
    <w:rsid w:val="00CA7A0E"/>
    <w:rsid w:val="00CA7ADF"/>
    <w:rsid w:val="00CA7C64"/>
    <w:rsid w:val="00CB135A"/>
    <w:rsid w:val="00CB3387"/>
    <w:rsid w:val="00CB70A2"/>
    <w:rsid w:val="00CC3276"/>
    <w:rsid w:val="00CD38D8"/>
    <w:rsid w:val="00CD4C08"/>
    <w:rsid w:val="00CD4EE2"/>
    <w:rsid w:val="00CE3D9B"/>
    <w:rsid w:val="00CE700F"/>
    <w:rsid w:val="00CF1099"/>
    <w:rsid w:val="00D03963"/>
    <w:rsid w:val="00D05FE9"/>
    <w:rsid w:val="00D1136D"/>
    <w:rsid w:val="00D12115"/>
    <w:rsid w:val="00D15DB7"/>
    <w:rsid w:val="00D21B27"/>
    <w:rsid w:val="00D223BB"/>
    <w:rsid w:val="00D23C8A"/>
    <w:rsid w:val="00D25904"/>
    <w:rsid w:val="00D32412"/>
    <w:rsid w:val="00D37A94"/>
    <w:rsid w:val="00D405D3"/>
    <w:rsid w:val="00D44A5F"/>
    <w:rsid w:val="00D472BF"/>
    <w:rsid w:val="00D476C4"/>
    <w:rsid w:val="00D47E75"/>
    <w:rsid w:val="00D555FC"/>
    <w:rsid w:val="00D56AD0"/>
    <w:rsid w:val="00D600BB"/>
    <w:rsid w:val="00D61121"/>
    <w:rsid w:val="00D65C65"/>
    <w:rsid w:val="00D67730"/>
    <w:rsid w:val="00D67E9C"/>
    <w:rsid w:val="00D720E3"/>
    <w:rsid w:val="00D800C4"/>
    <w:rsid w:val="00D80D1C"/>
    <w:rsid w:val="00D81B2B"/>
    <w:rsid w:val="00D831AA"/>
    <w:rsid w:val="00D84525"/>
    <w:rsid w:val="00D855A5"/>
    <w:rsid w:val="00D862C0"/>
    <w:rsid w:val="00D91DF0"/>
    <w:rsid w:val="00D97180"/>
    <w:rsid w:val="00DA02D2"/>
    <w:rsid w:val="00DA6F77"/>
    <w:rsid w:val="00DB4F14"/>
    <w:rsid w:val="00DB6F9E"/>
    <w:rsid w:val="00DB7FDE"/>
    <w:rsid w:val="00DC1610"/>
    <w:rsid w:val="00DC3116"/>
    <w:rsid w:val="00DC5486"/>
    <w:rsid w:val="00DD0F71"/>
    <w:rsid w:val="00DD51CE"/>
    <w:rsid w:val="00DD57D9"/>
    <w:rsid w:val="00DF08AF"/>
    <w:rsid w:val="00DF2511"/>
    <w:rsid w:val="00DF338C"/>
    <w:rsid w:val="00DF605D"/>
    <w:rsid w:val="00DF70F2"/>
    <w:rsid w:val="00DF71C9"/>
    <w:rsid w:val="00E01283"/>
    <w:rsid w:val="00E026AF"/>
    <w:rsid w:val="00E0598D"/>
    <w:rsid w:val="00E1405E"/>
    <w:rsid w:val="00E153A6"/>
    <w:rsid w:val="00E16440"/>
    <w:rsid w:val="00E23480"/>
    <w:rsid w:val="00E2397D"/>
    <w:rsid w:val="00E244BB"/>
    <w:rsid w:val="00E267DE"/>
    <w:rsid w:val="00E34615"/>
    <w:rsid w:val="00E350DA"/>
    <w:rsid w:val="00E36769"/>
    <w:rsid w:val="00E37408"/>
    <w:rsid w:val="00E40547"/>
    <w:rsid w:val="00E42972"/>
    <w:rsid w:val="00E44015"/>
    <w:rsid w:val="00E44C8D"/>
    <w:rsid w:val="00E4536D"/>
    <w:rsid w:val="00E506B2"/>
    <w:rsid w:val="00E54812"/>
    <w:rsid w:val="00E57572"/>
    <w:rsid w:val="00E62A97"/>
    <w:rsid w:val="00E77927"/>
    <w:rsid w:val="00E934FE"/>
    <w:rsid w:val="00E93665"/>
    <w:rsid w:val="00E936AE"/>
    <w:rsid w:val="00E95556"/>
    <w:rsid w:val="00EA00E2"/>
    <w:rsid w:val="00EA0573"/>
    <w:rsid w:val="00EA4690"/>
    <w:rsid w:val="00EA5AE2"/>
    <w:rsid w:val="00EB31A4"/>
    <w:rsid w:val="00EB3C6D"/>
    <w:rsid w:val="00EB598C"/>
    <w:rsid w:val="00EB5E60"/>
    <w:rsid w:val="00EC0E67"/>
    <w:rsid w:val="00EC764A"/>
    <w:rsid w:val="00ED27AE"/>
    <w:rsid w:val="00ED3647"/>
    <w:rsid w:val="00ED4BB9"/>
    <w:rsid w:val="00EE046C"/>
    <w:rsid w:val="00EE3FCD"/>
    <w:rsid w:val="00EE40B1"/>
    <w:rsid w:val="00EE77F6"/>
    <w:rsid w:val="00EE7E08"/>
    <w:rsid w:val="00EF2DF4"/>
    <w:rsid w:val="00EF370E"/>
    <w:rsid w:val="00EF5382"/>
    <w:rsid w:val="00EF5675"/>
    <w:rsid w:val="00F06CD8"/>
    <w:rsid w:val="00F0749B"/>
    <w:rsid w:val="00F07AC7"/>
    <w:rsid w:val="00F10B96"/>
    <w:rsid w:val="00F10D70"/>
    <w:rsid w:val="00F14C95"/>
    <w:rsid w:val="00F21632"/>
    <w:rsid w:val="00F273B9"/>
    <w:rsid w:val="00F273C6"/>
    <w:rsid w:val="00F27BC4"/>
    <w:rsid w:val="00F3253F"/>
    <w:rsid w:val="00F3663C"/>
    <w:rsid w:val="00F3687F"/>
    <w:rsid w:val="00F47744"/>
    <w:rsid w:val="00F50457"/>
    <w:rsid w:val="00F5562F"/>
    <w:rsid w:val="00F564DC"/>
    <w:rsid w:val="00F6250F"/>
    <w:rsid w:val="00F62DB6"/>
    <w:rsid w:val="00F63A53"/>
    <w:rsid w:val="00F64D01"/>
    <w:rsid w:val="00F65177"/>
    <w:rsid w:val="00F652CE"/>
    <w:rsid w:val="00F71DD6"/>
    <w:rsid w:val="00F8137C"/>
    <w:rsid w:val="00F81B80"/>
    <w:rsid w:val="00F81E9A"/>
    <w:rsid w:val="00F87AF3"/>
    <w:rsid w:val="00F90E63"/>
    <w:rsid w:val="00F925D3"/>
    <w:rsid w:val="00F94F16"/>
    <w:rsid w:val="00FA38EE"/>
    <w:rsid w:val="00FC2825"/>
    <w:rsid w:val="00FC5A7F"/>
    <w:rsid w:val="00FD0995"/>
    <w:rsid w:val="00FD1B5D"/>
    <w:rsid w:val="00FD5B84"/>
    <w:rsid w:val="00FD7583"/>
    <w:rsid w:val="00FD7FB4"/>
    <w:rsid w:val="00FE4E68"/>
    <w:rsid w:val="00FE526E"/>
    <w:rsid w:val="00FE5AB6"/>
    <w:rsid w:val="00FF3FC4"/>
    <w:rsid w:val="00FF488B"/>
    <w:rsid w:val="07814F9B"/>
    <w:rsid w:val="0BAE3CE4"/>
    <w:rsid w:val="13B28FE7"/>
    <w:rsid w:val="2B314426"/>
    <w:rsid w:val="2DA56A6C"/>
    <w:rsid w:val="3A453EBB"/>
    <w:rsid w:val="41C16E64"/>
    <w:rsid w:val="48037924"/>
    <w:rsid w:val="4A27637E"/>
    <w:rsid w:val="4F8F6090"/>
    <w:rsid w:val="6A27A8E9"/>
    <w:rsid w:val="70BDB1B7"/>
    <w:rsid w:val="74429EBB"/>
    <w:rsid w:val="749A71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C8836"/>
  <w15:docId w15:val="{5355B40B-C594-445E-9057-DF3D69D03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pPr>
        <w:spacing w:before="20" w:after="20"/>
      </w:pPr>
    </w:pPrDefault>
  </w:docDefaults>
  <w:latentStyles w:defLockedState="0" w:defUIPriority="99" w:defSemiHidden="0" w:defUnhideWhenUsed="0" w:defQFormat="0" w:count="376">
    <w:lsdException w:name="Normal" w:uiPriority="3"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4" w:semiHidden="1" w:unhideWhenUsed="1"/>
    <w:lsdException w:name="heading 6" w:uiPriority="4" w:semiHidden="1" w:unhideWhenUsed="1"/>
    <w:lsdException w:name="heading 7" w:uiPriority="4" w:semiHidden="1" w:unhideWhenUsed="1"/>
    <w:lsdException w:name="heading 8" w:uiPriority="0" w:semiHidden="1" w:unhideWhenUsed="1"/>
    <w:lsdException w:name="heading 9" w:uiPriority="0"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semiHidden="1" w:unhideWhenUsed="1"/>
    <w:lsdException w:name="header" w:uiPriority="4" w:semiHidden="1" w:unhideWhenUsed="1"/>
    <w:lsdException w:name="footer" w:semiHidden="1" w:unhideWhenUsed="1"/>
    <w:lsdException w:name="index heading" w:semiHidden="1" w:unhideWhenUsed="1"/>
    <w:lsdException w:name="caption" w:uiPriority="4" w:semiHidden="1" w:unhideWhenUsed="1"/>
    <w:lsdException w:name="table of figures" w:uiPriority="0"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3"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9" w:semiHidden="1" w:unhideWhenUsed="1" w:qFormat="1"/>
    <w:lsdException w:name="List Bullet 3" w:uiPriority="19" w:semiHidden="1" w:unhideWhenUsed="1" w:qFormat="1"/>
    <w:lsdException w:name="List Bullet 4" w:uiPriority="19"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3"/>
    <w:rsid w:val="00BA6285"/>
    <w:pPr>
      <w:spacing w:after="0" w:line="280" w:lineRule="atLeast"/>
      <w:jc w:val="both"/>
    </w:pPr>
    <w:rPr>
      <w:rFonts w:ascii="Arial" w:hAnsi="Arial" w:cs="Arial"/>
      <w:iCs/>
      <w:color w:val="3FA6CC" w:themeColor="text1"/>
    </w:rPr>
  </w:style>
  <w:style w:type="paragraph" w:styleId="Heading1">
    <w:name w:val="heading 1"/>
    <w:next w:val="BodyTextGrey"/>
    <w:link w:val="Heading1Char"/>
    <w:qFormat/>
    <w:rsid w:val="008C417D"/>
    <w:pPr>
      <w:keepNext/>
      <w:keepLines/>
      <w:spacing w:before="140" w:after="140" w:line="360" w:lineRule="atLeast"/>
      <w:outlineLvl w:val="0"/>
    </w:pPr>
    <w:rPr>
      <w:rFonts w:asciiTheme="minorHAnsi" w:hAnsiTheme="minorHAnsi"/>
      <w:b/>
      <w:color w:val="61207F"/>
      <w:kern w:val="28"/>
      <w:sz w:val="24"/>
      <w:lang w:eastAsia="en-US"/>
    </w:rPr>
  </w:style>
  <w:style w:type="paragraph" w:styleId="Heading2">
    <w:name w:val="heading 2"/>
    <w:next w:val="BodyTextGrey"/>
    <w:link w:val="Heading2Char"/>
    <w:qFormat/>
    <w:rsid w:val="008C417D"/>
    <w:pPr>
      <w:keepNext/>
      <w:keepLines/>
      <w:spacing w:before="0" w:after="0" w:line="280" w:lineRule="atLeast"/>
      <w:outlineLvl w:val="1"/>
    </w:pPr>
    <w:rPr>
      <w:rFonts w:cs="Arial" w:asciiTheme="minorHAnsi" w:hAnsiTheme="minorHAnsi"/>
      <w:b/>
      <w:iCs/>
      <w:color w:val="244D7A"/>
      <w:sz w:val="24"/>
      <w:lang w:eastAsia="en-US"/>
    </w:rPr>
  </w:style>
  <w:style w:type="paragraph" w:styleId="Heading3">
    <w:name w:val="heading 3"/>
    <w:next w:val="BodyTextGrey"/>
    <w:link w:val="Heading3Char"/>
    <w:qFormat/>
    <w:rsid w:val="006C2E18"/>
    <w:pPr>
      <w:keepNext/>
      <w:keepLines/>
      <w:spacing w:line="280" w:lineRule="atLeast"/>
      <w:outlineLvl w:val="2"/>
    </w:pPr>
    <w:rPr>
      <w:rFonts w:ascii="Arial" w:hAnsi="Arial" w:cs="Arial"/>
      <w:b/>
      <w:iCs/>
      <w:color w:val="3FA6CC" w:themeColor="text1"/>
      <w:lang w:eastAsia="en-US"/>
    </w:rPr>
  </w:style>
  <w:style w:type="paragraph" w:styleId="Heading4">
    <w:name w:val="heading 4"/>
    <w:next w:val="BodyTextGrey"/>
    <w:link w:val="Heading4Char"/>
    <w:qFormat/>
    <w:rsid w:val="0031795F"/>
    <w:pPr>
      <w:tabs>
        <w:tab w:val="num" w:pos="0"/>
      </w:tabs>
      <w:spacing w:line="280" w:lineRule="atLeast"/>
      <w:outlineLvl w:val="3"/>
    </w:pPr>
    <w:rPr>
      <w:rFonts w:ascii="Arial" w:hAnsi="Arial" w:cs="Arial"/>
      <w:b/>
      <w:iCs/>
      <w:color w:val="455560"/>
      <w:lang w:eastAsia="en-US"/>
    </w:rPr>
  </w:style>
  <w:style w:type="paragraph" w:styleId="Heading5">
    <w:name w:val="heading 5"/>
    <w:aliases w:val="Briefing note heading"/>
    <w:next w:val="Normal"/>
    <w:link w:val="Heading5Char"/>
    <w:uiPriority w:val="4"/>
    <w:unhideWhenUsed/>
    <w:rsid w:val="0098213E"/>
    <w:pPr>
      <w:spacing w:before="240" w:after="60"/>
      <w:jc w:val="both"/>
      <w:outlineLvl w:val="4"/>
    </w:pPr>
    <w:rPr>
      <w:rFonts w:ascii="Arial" w:hAnsi="Arial" w:cs="Tahoma"/>
      <w:color w:val="40A6CC"/>
      <w:spacing w:val="20"/>
      <w:szCs w:val="146"/>
    </w:rPr>
  </w:style>
  <w:style w:type="paragraph" w:styleId="Heading6">
    <w:name w:val="heading 6"/>
    <w:basedOn w:val="Normal"/>
    <w:next w:val="Normal"/>
    <w:link w:val="Heading6Char"/>
    <w:uiPriority w:val="4"/>
    <w:unhideWhenUsed/>
    <w:rsid w:val="0098213E"/>
    <w:pPr>
      <w:tabs>
        <w:tab w:val="num" w:pos="0"/>
      </w:tabs>
      <w:spacing w:before="240" w:after="60"/>
      <w:outlineLvl w:val="5"/>
    </w:pPr>
    <w:rPr>
      <w:i/>
    </w:rPr>
  </w:style>
  <w:style w:type="paragraph" w:styleId="Heading7">
    <w:name w:val="heading 7"/>
    <w:basedOn w:val="Normal"/>
    <w:next w:val="Normal"/>
    <w:link w:val="Heading7Char"/>
    <w:uiPriority w:val="4"/>
    <w:semiHidden/>
    <w:unhideWhenUsed/>
    <w:rsid w:val="0098213E"/>
    <w:pPr>
      <w:tabs>
        <w:tab w:val="num" w:pos="0"/>
      </w:tabs>
      <w:spacing w:before="240" w:after="60"/>
      <w:outlineLvl w:val="6"/>
    </w:pPr>
    <w:rPr>
      <w:sz w:val="24"/>
    </w:rPr>
  </w:style>
  <w:style w:type="paragraph" w:styleId="Heading8">
    <w:name w:val="heading 8"/>
    <w:basedOn w:val="Normal"/>
    <w:link w:val="Heading8Char"/>
    <w:semiHidden/>
    <w:unhideWhenUsed/>
    <w:rsid w:val="0098213E"/>
    <w:pPr>
      <w:tabs>
        <w:tab w:val="num" w:pos="0"/>
      </w:tabs>
      <w:spacing w:after="240"/>
      <w:ind w:left="720" w:hanging="720"/>
      <w:outlineLvl w:val="7"/>
    </w:pPr>
    <w:rPr>
      <w:b/>
    </w:rPr>
  </w:style>
  <w:style w:type="paragraph" w:styleId="Heading9">
    <w:name w:val="heading 9"/>
    <w:basedOn w:val="Normal"/>
    <w:link w:val="Heading9Char"/>
    <w:semiHidden/>
    <w:unhideWhenUsed/>
    <w:rsid w:val="0098213E"/>
    <w:pPr>
      <w:tabs>
        <w:tab w:val="num" w:pos="0"/>
      </w:tabs>
      <w:spacing w:before="240" w:after="60"/>
      <w:ind w:left="3600" w:hanging="720"/>
      <w:outlineLvl w:val="8"/>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ppendix1" w:customStyle="1">
    <w:name w:val="Appendix 1"/>
    <w:basedOn w:val="AppendixSubheading"/>
    <w:next w:val="BodyTextGrey"/>
    <w:uiPriority w:val="3"/>
    <w:qFormat/>
    <w:rsid w:val="0031795F"/>
  </w:style>
  <w:style w:type="character" w:styleId="Heading1Char" w:customStyle="1">
    <w:name w:val="Heading 1 Char"/>
    <w:basedOn w:val="DefaultParagraphFont"/>
    <w:link w:val="Heading1"/>
    <w:rsid w:val="008C417D"/>
    <w:rPr>
      <w:rFonts w:asciiTheme="minorHAnsi" w:hAnsiTheme="minorHAnsi"/>
      <w:b/>
      <w:color w:val="61207F"/>
      <w:kern w:val="28"/>
      <w:sz w:val="24"/>
      <w:lang w:eastAsia="en-US"/>
    </w:rPr>
  </w:style>
  <w:style w:type="paragraph" w:styleId="BodyText">
    <w:name w:val="Body Text"/>
    <w:aliases w:val="Body Text Black"/>
    <w:link w:val="BodyTextChar"/>
    <w:rsid w:val="0098213E"/>
    <w:pPr>
      <w:spacing w:line="280" w:lineRule="atLeast"/>
    </w:pPr>
    <w:rPr>
      <w:rFonts w:ascii="Arial" w:hAnsi="Arial" w:cs="Arial"/>
      <w:iCs/>
    </w:rPr>
  </w:style>
  <w:style w:type="character" w:styleId="BodyTextChar" w:customStyle="1">
    <w:name w:val="Body Text Char"/>
    <w:aliases w:val="Body Text Black Char"/>
    <w:basedOn w:val="DefaultParagraphFont"/>
    <w:link w:val="BodyText"/>
    <w:uiPriority w:val="1"/>
    <w:rsid w:val="0000606C"/>
    <w:rPr>
      <w:rFonts w:ascii="Arial" w:hAnsi="Arial" w:eastAsia="Times New Roman" w:cs="Arial"/>
      <w:iCs/>
      <w:sz w:val="20"/>
      <w:szCs w:val="20"/>
    </w:rPr>
  </w:style>
  <w:style w:type="paragraph" w:styleId="Appendix2" w:customStyle="1">
    <w:name w:val="Appendix 2"/>
    <w:basedOn w:val="Heading2"/>
    <w:next w:val="BodyTextGrey"/>
    <w:uiPriority w:val="3"/>
    <w:qFormat/>
    <w:rsid w:val="000F31CE"/>
    <w:rPr>
      <w:szCs w:val="22"/>
    </w:rPr>
  </w:style>
  <w:style w:type="character" w:styleId="Heading2Char" w:customStyle="1">
    <w:name w:val="Heading 2 Char"/>
    <w:basedOn w:val="DefaultParagraphFont"/>
    <w:link w:val="Heading2"/>
    <w:rsid w:val="008C417D"/>
    <w:rPr>
      <w:rFonts w:cs="Arial" w:asciiTheme="minorHAnsi" w:hAnsiTheme="minorHAnsi"/>
      <w:b/>
      <w:iCs/>
      <w:color w:val="244D7A"/>
      <w:sz w:val="24"/>
      <w:lang w:eastAsia="en-US"/>
    </w:rPr>
  </w:style>
  <w:style w:type="paragraph" w:styleId="Appendix3" w:customStyle="1">
    <w:name w:val="Appendix 3"/>
    <w:basedOn w:val="Heading3"/>
    <w:next w:val="BodyTextGrey"/>
    <w:uiPriority w:val="3"/>
    <w:qFormat/>
    <w:rsid w:val="006C2E18"/>
  </w:style>
  <w:style w:type="character" w:styleId="Heading3Char" w:customStyle="1">
    <w:name w:val="Heading 3 Char"/>
    <w:basedOn w:val="DefaultParagraphFont"/>
    <w:link w:val="Heading3"/>
    <w:rsid w:val="00E42972"/>
    <w:rPr>
      <w:rFonts w:ascii="Arial" w:hAnsi="Arial" w:cs="Arial"/>
      <w:b/>
      <w:iCs/>
      <w:color w:val="3FA6CC" w:themeColor="text1"/>
      <w:lang w:eastAsia="en-US"/>
    </w:rPr>
  </w:style>
  <w:style w:type="paragraph" w:styleId="FooterText" w:customStyle="1">
    <w:name w:val="Footer Text"/>
    <w:basedOn w:val="BodyText"/>
    <w:uiPriority w:val="4"/>
    <w:rsid w:val="00425E54"/>
    <w:pPr>
      <w:keepLines/>
      <w:pBdr>
        <w:top w:val="single" w:color="646464" w:sz="2" w:space="4"/>
      </w:pBdr>
      <w:spacing w:after="0"/>
      <w:ind w:left="-425"/>
    </w:pPr>
    <w:rPr>
      <w:color w:val="4B4B4B"/>
    </w:rPr>
  </w:style>
  <w:style w:type="paragraph" w:styleId="FreedomHeading" w:customStyle="1">
    <w:name w:val="Freedom Heading"/>
    <w:basedOn w:val="Heading1"/>
    <w:next w:val="BodyText"/>
    <w:uiPriority w:val="4"/>
    <w:rsid w:val="0098213E"/>
    <w:rPr>
      <w:caps/>
      <w:color w:val="40A6CC"/>
    </w:rPr>
  </w:style>
  <w:style w:type="paragraph" w:styleId="hBullet1" w:customStyle="1">
    <w:name w:val="hBullet1"/>
    <w:basedOn w:val="BodyText"/>
    <w:uiPriority w:val="3"/>
    <w:rsid w:val="0098213E"/>
    <w:pPr>
      <w:widowControl w:val="0"/>
      <w:numPr>
        <w:numId w:val="4"/>
      </w:numPr>
      <w:spacing w:before="120" w:after="120"/>
    </w:pPr>
    <w:rPr>
      <w:rFonts w:cs="Times New Roman"/>
      <w:iCs w:val="0"/>
      <w:szCs w:val="24"/>
    </w:rPr>
  </w:style>
  <w:style w:type="paragraph" w:styleId="hBullet2" w:customStyle="1">
    <w:name w:val="hBullet2"/>
    <w:basedOn w:val="BodyText"/>
    <w:uiPriority w:val="3"/>
    <w:rsid w:val="0098213E"/>
    <w:pPr>
      <w:widowControl w:val="0"/>
      <w:numPr>
        <w:numId w:val="5"/>
      </w:numPr>
      <w:spacing w:before="120" w:after="120"/>
    </w:pPr>
    <w:rPr>
      <w:rFonts w:cs="Times New Roman"/>
      <w:iCs w:val="0"/>
      <w:szCs w:val="24"/>
    </w:rPr>
  </w:style>
  <w:style w:type="paragraph" w:styleId="hBullet3" w:customStyle="1">
    <w:name w:val="hBullet3"/>
    <w:basedOn w:val="BodyText"/>
    <w:uiPriority w:val="3"/>
    <w:rsid w:val="0098213E"/>
    <w:pPr>
      <w:widowControl w:val="0"/>
      <w:numPr>
        <w:numId w:val="6"/>
      </w:numPr>
      <w:spacing w:before="120" w:after="120"/>
    </w:pPr>
    <w:rPr>
      <w:rFonts w:cs="Times New Roman"/>
      <w:iCs w:val="0"/>
      <w:szCs w:val="24"/>
    </w:rPr>
  </w:style>
  <w:style w:type="paragraph" w:styleId="hBullets" w:customStyle="1">
    <w:name w:val="hBullets"/>
    <w:uiPriority w:val="3"/>
    <w:rsid w:val="0098213E"/>
    <w:pPr>
      <w:numPr>
        <w:numId w:val="7"/>
      </w:numPr>
      <w:spacing w:line="280" w:lineRule="atLeast"/>
    </w:pPr>
    <w:rPr>
      <w:rFonts w:ascii="Arial" w:hAnsi="Arial"/>
      <w:color w:val="4B4B4B"/>
      <w:szCs w:val="24"/>
    </w:rPr>
  </w:style>
  <w:style w:type="paragraph" w:styleId="Heading1Num" w:customStyle="1">
    <w:name w:val="Heading 1 Num"/>
    <w:basedOn w:val="Heading1"/>
    <w:next w:val="BodyTextGrey"/>
    <w:uiPriority w:val="1"/>
    <w:qFormat/>
    <w:rsid w:val="006C2E18"/>
    <w:pPr>
      <w:numPr>
        <w:numId w:val="10"/>
      </w:numPr>
    </w:pPr>
  </w:style>
  <w:style w:type="paragraph" w:styleId="Heading2Num" w:customStyle="1">
    <w:name w:val="Heading 2 Num"/>
    <w:basedOn w:val="Heading2"/>
    <w:next w:val="BodyTextGrey"/>
    <w:link w:val="Heading2NumChar"/>
    <w:uiPriority w:val="1"/>
    <w:qFormat/>
    <w:rsid w:val="0031795F"/>
    <w:pPr>
      <w:numPr>
        <w:ilvl w:val="1"/>
        <w:numId w:val="10"/>
      </w:numPr>
    </w:pPr>
  </w:style>
  <w:style w:type="paragraph" w:styleId="Heading3Num" w:customStyle="1">
    <w:name w:val="Heading 3 Num"/>
    <w:basedOn w:val="Heading3"/>
    <w:next w:val="BodyTextGrey"/>
    <w:link w:val="Heading3NumChar"/>
    <w:uiPriority w:val="1"/>
    <w:qFormat/>
    <w:rsid w:val="006C2E18"/>
    <w:pPr>
      <w:numPr>
        <w:ilvl w:val="2"/>
        <w:numId w:val="10"/>
      </w:numPr>
    </w:pPr>
  </w:style>
  <w:style w:type="paragraph" w:styleId="hNumber1" w:customStyle="1">
    <w:name w:val="hNumber1"/>
    <w:uiPriority w:val="3"/>
    <w:rsid w:val="0098213E"/>
    <w:pPr>
      <w:widowControl w:val="0"/>
      <w:numPr>
        <w:numId w:val="8"/>
      </w:numPr>
      <w:spacing w:line="280" w:lineRule="atLeast"/>
    </w:pPr>
    <w:rPr>
      <w:rFonts w:ascii="Arial" w:hAnsi="Arial"/>
      <w:color w:val="4B4B4B"/>
      <w:szCs w:val="24"/>
    </w:rPr>
  </w:style>
  <w:style w:type="numbering" w:styleId="HRNumber" w:customStyle="1">
    <w:name w:val="HR Number"/>
    <w:uiPriority w:val="99"/>
    <w:rsid w:val="0092629D"/>
    <w:pPr>
      <w:numPr>
        <w:numId w:val="2"/>
      </w:numPr>
    </w:pPr>
  </w:style>
  <w:style w:type="paragraph" w:styleId="HymanHeader" w:customStyle="1">
    <w:name w:val="HymanHeader"/>
    <w:basedOn w:val="BodyText"/>
    <w:uiPriority w:val="3"/>
    <w:rsid w:val="00302D29"/>
    <w:pPr>
      <w:pBdr>
        <w:top w:val="single" w:color="646464" w:sz="2" w:space="4"/>
      </w:pBdr>
      <w:ind w:left="-425"/>
    </w:pPr>
    <w:rPr>
      <w:color w:val="4B4B4B"/>
      <w:lang w:val="fr-FR"/>
    </w:rPr>
  </w:style>
  <w:style w:type="paragraph" w:styleId="LetterDate" w:customStyle="1">
    <w:name w:val="Letter Date"/>
    <w:basedOn w:val="BodyText"/>
    <w:next w:val="BodyText"/>
    <w:uiPriority w:val="3"/>
    <w:rsid w:val="0098213E"/>
    <w:pPr>
      <w:spacing w:before="480" w:after="480"/>
    </w:pPr>
    <w:rPr>
      <w:rFonts w:cs="Times New Roman"/>
      <w:color w:val="646464"/>
      <w:szCs w:val="28"/>
    </w:rPr>
  </w:style>
  <w:style w:type="paragraph" w:styleId="ListBullet-Hymans" w:customStyle="1">
    <w:name w:val="List Bullet - Hymans"/>
    <w:basedOn w:val="Normal"/>
    <w:uiPriority w:val="3"/>
    <w:rsid w:val="0098213E"/>
    <w:pPr>
      <w:tabs>
        <w:tab w:val="num" w:pos="360"/>
      </w:tabs>
      <w:ind w:left="360" w:hanging="360"/>
    </w:pPr>
  </w:style>
  <w:style w:type="paragraph" w:styleId="NormalLeft" w:customStyle="1">
    <w:name w:val="Normal Left"/>
    <w:basedOn w:val="Normal"/>
    <w:uiPriority w:val="3"/>
    <w:rsid w:val="0098213E"/>
    <w:pPr>
      <w:ind w:left="-400"/>
    </w:pPr>
    <w:rPr>
      <w:rFonts w:cs="Times New Roman"/>
    </w:rPr>
  </w:style>
  <w:style w:type="paragraph" w:styleId="Signatory" w:customStyle="1">
    <w:name w:val="Signatory"/>
    <w:basedOn w:val="BodyText"/>
    <w:uiPriority w:val="3"/>
    <w:rsid w:val="0098213E"/>
    <w:rPr>
      <w:sz w:val="16"/>
    </w:rPr>
  </w:style>
  <w:style w:type="paragraph" w:styleId="StyleLeft45cm" w:customStyle="1">
    <w:name w:val="Style Left:  4.5 cm"/>
    <w:basedOn w:val="Normal"/>
    <w:uiPriority w:val="3"/>
    <w:rsid w:val="0098213E"/>
    <w:pPr>
      <w:ind w:left="2552"/>
    </w:pPr>
    <w:rPr>
      <w:rFonts w:cs="Times New Roman"/>
    </w:rPr>
  </w:style>
  <w:style w:type="paragraph" w:styleId="StyleTenderVerticalSmallLeftBefore1ptAfter1pt" w:customStyle="1">
    <w:name w:val="Style Tender Vertical Small + Left Before:  1 pt After:  1 pt"/>
    <w:basedOn w:val="TenderVerticalSmall"/>
    <w:rsid w:val="0098213E"/>
    <w:pPr>
      <w:spacing w:after="20"/>
      <w:jc w:val="left"/>
    </w:pPr>
    <w:rPr>
      <w:rFonts w:cs="Times New Roman"/>
      <w:iCs w:val="0"/>
      <w:szCs w:val="20"/>
    </w:rPr>
  </w:style>
  <w:style w:type="paragraph" w:styleId="TableColumn1" w:customStyle="1">
    <w:name w:val="Table Column1"/>
    <w:basedOn w:val="TableHeader"/>
    <w:autoRedefine/>
    <w:uiPriority w:val="3"/>
    <w:rsid w:val="0098213E"/>
  </w:style>
  <w:style w:type="paragraph" w:styleId="TableHeader" w:customStyle="1">
    <w:name w:val="Table Header"/>
    <w:basedOn w:val="TableText"/>
    <w:uiPriority w:val="3"/>
    <w:rsid w:val="0098213E"/>
    <w:rPr>
      <w:color w:val="FFFFFF"/>
    </w:rPr>
  </w:style>
  <w:style w:type="paragraph" w:styleId="TableText" w:customStyle="1">
    <w:name w:val="Table Text"/>
    <w:basedOn w:val="BodyText"/>
    <w:uiPriority w:val="3"/>
    <w:rsid w:val="0098213E"/>
  </w:style>
  <w:style w:type="paragraph" w:styleId="TableHeaderText-Hymans" w:customStyle="1">
    <w:name w:val="TableHeaderText - Hymans"/>
    <w:basedOn w:val="Normal"/>
    <w:uiPriority w:val="3"/>
    <w:rsid w:val="0098213E"/>
    <w:rPr>
      <w:rFonts w:ascii="Times New Roman" w:hAnsi="Times New Roman" w:cs="Times New Roman"/>
      <w:sz w:val="24"/>
      <w:szCs w:val="24"/>
    </w:rPr>
  </w:style>
  <w:style w:type="paragraph" w:styleId="TableSpacer" w:customStyle="1">
    <w:name w:val="TableSpacer"/>
    <w:basedOn w:val="Normal"/>
    <w:next w:val="Heading2"/>
    <w:uiPriority w:val="3"/>
    <w:rsid w:val="0098213E"/>
    <w:pPr>
      <w:spacing w:before="240"/>
    </w:pPr>
    <w:rPr>
      <w:color w:val="FFFFFF"/>
      <w:sz w:val="24"/>
    </w:rPr>
  </w:style>
  <w:style w:type="paragraph" w:styleId="TableText-Hymans" w:customStyle="1">
    <w:name w:val="TableText - Hymans"/>
    <w:basedOn w:val="Normal"/>
    <w:uiPriority w:val="3"/>
    <w:rsid w:val="0098213E"/>
    <w:rPr>
      <w:rFonts w:ascii="Times New Roman" w:hAnsi="Times New Roman" w:cs="Times New Roman"/>
      <w:sz w:val="24"/>
      <w:szCs w:val="24"/>
    </w:rPr>
  </w:style>
  <w:style w:type="paragraph" w:styleId="TenderAppendix" w:customStyle="1">
    <w:name w:val="Tender Appendix"/>
    <w:next w:val="Normal"/>
    <w:uiPriority w:val="3"/>
    <w:rsid w:val="0098213E"/>
    <w:pPr>
      <w:keepNext/>
      <w:keepLines/>
      <w:spacing w:after="0"/>
    </w:pPr>
    <w:rPr>
      <w:rFonts w:ascii="Arial" w:hAnsi="Arial"/>
      <w:caps/>
      <w:color w:val="40A6CC"/>
      <w:sz w:val="36"/>
    </w:rPr>
  </w:style>
  <w:style w:type="paragraph" w:styleId="TenderBluetext" w:customStyle="1">
    <w:name w:val="Tender Blue text"/>
    <w:basedOn w:val="Normal"/>
    <w:rsid w:val="007336DE"/>
    <w:pPr>
      <w:tabs>
        <w:tab w:val="right" w:pos="6271"/>
      </w:tabs>
      <w:spacing w:before="120"/>
      <w:jc w:val="left"/>
    </w:pPr>
    <w:rPr>
      <w:rFonts w:cs="Times New Roman"/>
      <w:iCs w:val="0"/>
      <w:color w:val="3FA6CC"/>
    </w:rPr>
  </w:style>
  <w:style w:type="paragraph" w:styleId="TenderBullet" w:customStyle="1">
    <w:name w:val="Tender Bullet"/>
    <w:basedOn w:val="Normal"/>
    <w:uiPriority w:val="3"/>
    <w:rsid w:val="0098213E"/>
    <w:pPr>
      <w:tabs>
        <w:tab w:val="num" w:pos="360"/>
      </w:tabs>
      <w:spacing w:after="240"/>
      <w:ind w:left="360" w:right="-3" w:hanging="360"/>
    </w:pPr>
    <w:rPr>
      <w:b/>
    </w:rPr>
  </w:style>
  <w:style w:type="paragraph" w:styleId="TenderH1" w:customStyle="1">
    <w:name w:val="Tender H1"/>
    <w:next w:val="Normal"/>
    <w:uiPriority w:val="3"/>
    <w:rsid w:val="0098213E"/>
    <w:pPr>
      <w:keepNext/>
      <w:keepLines/>
      <w:tabs>
        <w:tab w:val="num" w:pos="0"/>
      </w:tabs>
      <w:spacing w:after="360"/>
      <w:ind w:hanging="403"/>
    </w:pPr>
    <w:rPr>
      <w:rFonts w:ascii="Arial" w:hAnsi="Arial"/>
      <w:caps/>
      <w:color w:val="40A6CC"/>
      <w:sz w:val="36"/>
    </w:rPr>
  </w:style>
  <w:style w:type="paragraph" w:styleId="TenderH2" w:customStyle="1">
    <w:name w:val="Tender H2"/>
    <w:basedOn w:val="Normal"/>
    <w:next w:val="Normal"/>
    <w:uiPriority w:val="3"/>
    <w:rsid w:val="0098213E"/>
    <w:pPr>
      <w:keepNext/>
      <w:keepLines/>
      <w:tabs>
        <w:tab w:val="num" w:pos="0"/>
      </w:tabs>
    </w:pPr>
    <w:rPr>
      <w:caps/>
      <w:color w:val="F06A00"/>
    </w:rPr>
  </w:style>
  <w:style w:type="paragraph" w:styleId="TenderIntro" w:customStyle="1">
    <w:name w:val="Tender Intro"/>
    <w:uiPriority w:val="3"/>
    <w:rsid w:val="0098213E"/>
    <w:pPr>
      <w:spacing w:after="360"/>
      <w:ind w:left="-403"/>
    </w:pPr>
    <w:rPr>
      <w:rFonts w:ascii="Arial" w:hAnsi="Arial"/>
      <w:caps/>
      <w:color w:val="40A6CC"/>
      <w:sz w:val="36"/>
    </w:rPr>
  </w:style>
  <w:style w:type="paragraph" w:styleId="TenderQuestion" w:customStyle="1">
    <w:name w:val="Tender Question"/>
    <w:next w:val="BodyTextGrey"/>
    <w:qFormat/>
    <w:rsid w:val="006C2E18"/>
    <w:pPr>
      <w:numPr>
        <w:numId w:val="9"/>
      </w:numPr>
      <w:tabs>
        <w:tab w:val="left" w:pos="567"/>
      </w:tabs>
    </w:pPr>
    <w:rPr>
      <w:rFonts w:ascii="Arial" w:hAnsi="Arial" w:cs="Arial"/>
      <w:iCs/>
      <w:color w:val="3FA6CC"/>
      <w:lang w:eastAsia="en-US"/>
    </w:rPr>
  </w:style>
  <w:style w:type="paragraph" w:styleId="TenderTableHeader" w:customStyle="1">
    <w:name w:val="Tender Table Header"/>
    <w:basedOn w:val="Normal"/>
    <w:uiPriority w:val="3"/>
    <w:rsid w:val="0098213E"/>
    <w:rPr>
      <w:color w:val="FFFFFF"/>
    </w:rPr>
  </w:style>
  <w:style w:type="paragraph" w:styleId="TenderVerticalBigBlue" w:customStyle="1">
    <w:name w:val="Tender Vertical Big Blue"/>
    <w:link w:val="TenderVerticalBigBlueChar"/>
    <w:rsid w:val="0098213E"/>
    <w:pPr>
      <w:tabs>
        <w:tab w:val="right" w:pos="9180"/>
      </w:tabs>
      <w:spacing w:after="0" w:line="280" w:lineRule="atLeast"/>
    </w:pPr>
    <w:rPr>
      <w:rFonts w:ascii="Arial" w:hAnsi="Arial" w:cs="Arial"/>
      <w:iCs/>
      <w:caps/>
      <w:color w:val="40A6CC"/>
      <w:sz w:val="112"/>
      <w:szCs w:val="112"/>
    </w:rPr>
  </w:style>
  <w:style w:type="paragraph" w:styleId="TenderVerticalSmall" w:customStyle="1">
    <w:name w:val="Tender Vertical Small"/>
    <w:basedOn w:val="Normal"/>
    <w:uiPriority w:val="3"/>
    <w:rsid w:val="0098213E"/>
    <w:pPr>
      <w:tabs>
        <w:tab w:val="right" w:pos="9180"/>
      </w:tabs>
    </w:pPr>
    <w:rPr>
      <w:caps/>
      <w:color w:val="646464"/>
      <w:sz w:val="36"/>
      <w:szCs w:val="36"/>
    </w:rPr>
  </w:style>
  <w:style w:type="paragraph" w:styleId="TitleLogo" w:customStyle="1">
    <w:name w:val="Title Logo"/>
    <w:basedOn w:val="Normal"/>
    <w:uiPriority w:val="3"/>
    <w:rsid w:val="0098213E"/>
    <w:pPr>
      <w:spacing w:before="1200" w:after="1560"/>
    </w:pPr>
    <w:rPr>
      <w:b/>
      <w:sz w:val="56"/>
    </w:rPr>
  </w:style>
  <w:style w:type="paragraph" w:styleId="Action" w:customStyle="1">
    <w:name w:val="Action"/>
    <w:basedOn w:val="BodyText"/>
    <w:next w:val="BodyText"/>
    <w:link w:val="ActionChar"/>
    <w:uiPriority w:val="3"/>
    <w:rsid w:val="0098213E"/>
    <w:rPr>
      <w:color w:val="3FA6CC"/>
    </w:rPr>
  </w:style>
  <w:style w:type="character" w:styleId="ActionChar" w:customStyle="1">
    <w:name w:val="Action Char"/>
    <w:basedOn w:val="DefaultParagraphFont"/>
    <w:link w:val="Action"/>
    <w:uiPriority w:val="3"/>
    <w:rsid w:val="003D08BD"/>
    <w:rPr>
      <w:rFonts w:ascii="Arial" w:hAnsi="Arial" w:eastAsia="Times New Roman" w:cs="Arial"/>
      <w:iCs/>
      <w:color w:val="3FA6CC"/>
      <w:sz w:val="20"/>
      <w:szCs w:val="20"/>
    </w:rPr>
  </w:style>
  <w:style w:type="paragraph" w:styleId="Header">
    <w:name w:val="header"/>
    <w:next w:val="BodyTextGrey"/>
    <w:link w:val="HeaderChar"/>
    <w:uiPriority w:val="4"/>
    <w:rsid w:val="00BA6285"/>
    <w:pPr>
      <w:tabs>
        <w:tab w:val="right" w:pos="57"/>
      </w:tabs>
      <w:spacing w:after="80"/>
      <w:ind w:left="-425"/>
    </w:pPr>
    <w:rPr>
      <w:rFonts w:ascii="Arial" w:hAnsi="Arial" w:cs="Arial"/>
      <w:iCs/>
      <w:caps/>
      <w:color w:val="3FA6CC"/>
      <w:szCs w:val="28"/>
    </w:rPr>
  </w:style>
  <w:style w:type="character" w:styleId="HeaderChar" w:customStyle="1">
    <w:name w:val="Header Char"/>
    <w:basedOn w:val="DefaultParagraphFont"/>
    <w:link w:val="Header"/>
    <w:uiPriority w:val="4"/>
    <w:rsid w:val="00BA6285"/>
    <w:rPr>
      <w:rFonts w:ascii="Arial" w:hAnsi="Arial" w:eastAsia="Times New Roman" w:cs="Arial"/>
      <w:iCs/>
      <w:caps/>
      <w:color w:val="3FA6CC"/>
      <w:sz w:val="20"/>
      <w:szCs w:val="28"/>
    </w:rPr>
  </w:style>
  <w:style w:type="paragraph" w:styleId="Footer">
    <w:name w:val="footer"/>
    <w:basedOn w:val="Normal"/>
    <w:link w:val="FooterChar"/>
    <w:uiPriority w:val="99"/>
    <w:rsid w:val="0098213E"/>
    <w:pPr>
      <w:tabs>
        <w:tab w:val="center" w:pos="4153"/>
        <w:tab w:val="right" w:pos="8306"/>
      </w:tabs>
    </w:pPr>
  </w:style>
  <w:style w:type="character" w:styleId="FooterChar" w:customStyle="1">
    <w:name w:val="Footer Char"/>
    <w:basedOn w:val="DefaultParagraphFont"/>
    <w:link w:val="Footer"/>
    <w:uiPriority w:val="99"/>
    <w:rsid w:val="003D08BD"/>
    <w:rPr>
      <w:rFonts w:ascii="Arial" w:hAnsi="Arial" w:eastAsia="Times New Roman" w:cs="Arial"/>
      <w:iCs/>
      <w:color w:val="3FA6CC" w:themeColor="text1"/>
      <w:sz w:val="20"/>
      <w:szCs w:val="20"/>
    </w:rPr>
  </w:style>
  <w:style w:type="table" w:styleId="TableGrid">
    <w:name w:val="Table Grid"/>
    <w:basedOn w:val="TableNormal"/>
    <w:rsid w:val="00161697"/>
    <w:rPr>
      <w:color w:val="45556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tcPr>
  </w:style>
  <w:style w:type="table" w:styleId="LightShading-Accent11" w:customStyle="1">
    <w:name w:val="Light Shading - Accent 11"/>
    <w:aliases w:val="serena"/>
    <w:basedOn w:val="TableNormal"/>
    <w:uiPriority w:val="60"/>
    <w:rsid w:val="0098213E"/>
    <w:pPr>
      <w:spacing w:after="0"/>
    </w:pPr>
    <w:rPr>
      <w:color w:val="B34E00" w:themeColor="accent1" w:themeShade="BF"/>
    </w:rPr>
    <w:tblPr>
      <w:tblStyleRowBandSize w:val="1"/>
      <w:tblStyleColBandSize w:val="1"/>
      <w:tblBorders>
        <w:top w:val="single" w:color="F06A00" w:themeColor="accent1" w:sz="8" w:space="0"/>
        <w:bottom w:val="single" w:color="F06A00" w:themeColor="accent1" w:sz="8" w:space="0"/>
      </w:tblBorders>
    </w:tblPr>
    <w:tcPr>
      <w:shd w:val="clear" w:color="auto" w:fill="auto"/>
    </w:tcPr>
    <w:tblStylePr w:type="firstRow">
      <w:pPr>
        <w:spacing w:before="0" w:after="0" w:line="240" w:lineRule="auto"/>
      </w:pPr>
      <w:rPr>
        <w:b/>
        <w:bCs/>
        <w:color w:val="auto"/>
      </w:rPr>
      <w:tblPr/>
      <w:tcPr>
        <w:shd w:val="clear" w:color="auto" w:fill="36601F" w:themeFill="text2" w:themeFillShade="80"/>
      </w:tcPr>
    </w:tblStylePr>
    <w:tblStylePr w:type="lastRow">
      <w:pPr>
        <w:spacing w:before="0" w:after="0" w:line="240" w:lineRule="auto"/>
      </w:pPr>
      <w:rPr>
        <w:b/>
        <w:bCs/>
      </w:rPr>
      <w:tblPr/>
      <w:tcPr>
        <w:tcBorders>
          <w:top w:val="single" w:color="F06A00" w:themeColor="accent1" w:sz="8" w:space="0"/>
          <w:left w:val="nil"/>
          <w:bottom w:val="single" w:color="F06A00"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BC" w:themeFill="accent1" w:themeFillTint="3F"/>
      </w:tcPr>
    </w:tblStylePr>
    <w:tblStylePr w:type="band1Horz">
      <w:tblPr/>
      <w:tcPr>
        <w:tcBorders>
          <w:left w:val="nil"/>
          <w:right w:val="nil"/>
          <w:insideH w:val="nil"/>
          <w:insideV w:val="nil"/>
        </w:tcBorders>
        <w:shd w:val="clear" w:color="auto" w:fill="FFD9BC" w:themeFill="accent1" w:themeFillTint="3F"/>
      </w:tcPr>
    </w:tblStylePr>
  </w:style>
  <w:style w:type="table" w:styleId="LightShading-Accent5">
    <w:name w:val="Light Shading Accent 5"/>
    <w:basedOn w:val="TableNormal"/>
    <w:uiPriority w:val="60"/>
    <w:rsid w:val="0098213E"/>
    <w:pPr>
      <w:spacing w:after="0"/>
    </w:pPr>
    <w:rPr>
      <w:color w:val="4A4A4A" w:themeColor="accent5" w:themeShade="BF"/>
    </w:rPr>
    <w:tblPr>
      <w:tblStyleRowBandSize w:val="1"/>
      <w:tblStyleColBandSize w:val="1"/>
      <w:tblBorders>
        <w:top w:val="single" w:color="646464" w:themeColor="accent5" w:sz="8" w:space="0"/>
        <w:bottom w:val="single" w:color="646464" w:themeColor="accent5" w:sz="8" w:space="0"/>
      </w:tblBorders>
    </w:tblPr>
    <w:tblStylePr w:type="firstRow">
      <w:pPr>
        <w:spacing w:before="0" w:after="0" w:line="240" w:lineRule="auto"/>
      </w:pPr>
      <w:rPr>
        <w:b/>
        <w:bCs/>
      </w:rPr>
      <w:tblPr/>
      <w:tcPr>
        <w:tcBorders>
          <w:top w:val="single" w:color="646464" w:themeColor="accent5" w:sz="8" w:space="0"/>
          <w:left w:val="nil"/>
          <w:bottom w:val="single" w:color="646464" w:themeColor="accent5" w:sz="8" w:space="0"/>
          <w:right w:val="nil"/>
          <w:insideH w:val="nil"/>
          <w:insideV w:val="nil"/>
        </w:tcBorders>
      </w:tcPr>
    </w:tblStylePr>
    <w:tblStylePr w:type="lastRow">
      <w:pPr>
        <w:spacing w:before="0" w:after="0" w:line="240" w:lineRule="auto"/>
      </w:pPr>
      <w:rPr>
        <w:b/>
        <w:bCs/>
      </w:rPr>
      <w:tblPr/>
      <w:tcPr>
        <w:tcBorders>
          <w:top w:val="single" w:color="646464" w:themeColor="accent5" w:sz="8" w:space="0"/>
          <w:left w:val="nil"/>
          <w:bottom w:val="single" w:color="64646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8D8" w:themeFill="accent5" w:themeFillTint="3F"/>
      </w:tcPr>
    </w:tblStylePr>
    <w:tblStylePr w:type="band1Horz">
      <w:tblPr/>
      <w:tcPr>
        <w:tcBorders>
          <w:left w:val="nil"/>
          <w:right w:val="nil"/>
          <w:insideH w:val="nil"/>
          <w:insideV w:val="nil"/>
        </w:tcBorders>
        <w:shd w:val="clear" w:color="auto" w:fill="D8D8D8" w:themeFill="accent5" w:themeFillTint="3F"/>
      </w:tcPr>
    </w:tblStylePr>
  </w:style>
  <w:style w:type="paragraph" w:styleId="BodyTextNum" w:customStyle="1">
    <w:name w:val="Body Text Num"/>
    <w:basedOn w:val="BodyText"/>
    <w:uiPriority w:val="3"/>
    <w:rsid w:val="0098213E"/>
  </w:style>
  <w:style w:type="paragraph" w:styleId="ByLine" w:customStyle="1">
    <w:name w:val="ByLine"/>
    <w:basedOn w:val="Normal"/>
    <w:uiPriority w:val="3"/>
    <w:rsid w:val="0098213E"/>
    <w:pPr>
      <w:framePr w:w="7042" w:h="2448" w:hSpace="187" w:wrap="around" w:hAnchor="page" w:x="3889" w:y="8641" w:hRule="exact" w:anchorLock="1"/>
      <w:spacing w:before="240" w:line="240" w:lineRule="auto"/>
      <w:ind w:left="864"/>
      <w:jc w:val="left"/>
    </w:pPr>
    <w:rPr>
      <w:b/>
      <w:iCs w:val="0"/>
      <w:color w:val="auto"/>
    </w:rPr>
  </w:style>
  <w:style w:type="paragraph" w:styleId="Caption">
    <w:name w:val="caption"/>
    <w:basedOn w:val="Normal"/>
    <w:next w:val="Normal"/>
    <w:uiPriority w:val="4"/>
    <w:rsid w:val="0098213E"/>
    <w:pPr>
      <w:spacing w:before="120" w:after="120"/>
    </w:pPr>
    <w:rPr>
      <w:bCs/>
    </w:rPr>
  </w:style>
  <w:style w:type="character" w:styleId="FootnoteReference">
    <w:name w:val="footnote reference"/>
    <w:basedOn w:val="DefaultParagraphFont"/>
    <w:semiHidden/>
    <w:rsid w:val="0098213E"/>
    <w:rPr>
      <w:vertAlign w:val="superscript"/>
    </w:rPr>
  </w:style>
  <w:style w:type="paragraph" w:styleId="FootnoteText">
    <w:name w:val="footnote text"/>
    <w:basedOn w:val="Normal"/>
    <w:link w:val="FootnoteTextChar"/>
    <w:semiHidden/>
    <w:rsid w:val="0098213E"/>
    <w:pPr>
      <w:spacing w:line="240" w:lineRule="auto"/>
      <w:jc w:val="left"/>
    </w:pPr>
    <w:rPr>
      <w:b/>
      <w:iCs w:val="0"/>
      <w:color w:val="auto"/>
    </w:rPr>
  </w:style>
  <w:style w:type="character" w:styleId="FootnoteTextChar" w:customStyle="1">
    <w:name w:val="Footnote Text Char"/>
    <w:basedOn w:val="DefaultParagraphFont"/>
    <w:link w:val="FootnoteText"/>
    <w:semiHidden/>
    <w:rsid w:val="003D08BD"/>
    <w:rPr>
      <w:rFonts w:ascii="Arial" w:hAnsi="Arial" w:eastAsia="Times New Roman" w:cs="Arial"/>
      <w:b/>
      <w:sz w:val="20"/>
      <w:szCs w:val="20"/>
    </w:rPr>
  </w:style>
  <w:style w:type="character" w:styleId="Heading4Char" w:customStyle="1">
    <w:name w:val="Heading 4 Char"/>
    <w:basedOn w:val="DefaultParagraphFont"/>
    <w:link w:val="Heading4"/>
    <w:rsid w:val="0031795F"/>
    <w:rPr>
      <w:rFonts w:ascii="Arial" w:hAnsi="Arial" w:cs="Arial"/>
      <w:b/>
      <w:iCs/>
      <w:color w:val="455560"/>
      <w:lang w:eastAsia="en-US"/>
    </w:rPr>
  </w:style>
  <w:style w:type="character" w:styleId="Heading5Char" w:customStyle="1">
    <w:name w:val="Heading 5 Char"/>
    <w:aliases w:val="Briefing note heading Char"/>
    <w:basedOn w:val="DefaultParagraphFont"/>
    <w:link w:val="Heading5"/>
    <w:uiPriority w:val="4"/>
    <w:rsid w:val="00DA6F77"/>
    <w:rPr>
      <w:rFonts w:ascii="Arial" w:hAnsi="Arial" w:eastAsia="Times New Roman" w:cs="Tahoma"/>
      <w:color w:val="40A6CC"/>
      <w:spacing w:val="20"/>
      <w:sz w:val="20"/>
      <w:szCs w:val="146"/>
      <w:lang w:eastAsia="en-GB"/>
    </w:rPr>
  </w:style>
  <w:style w:type="character" w:styleId="Heading6Char" w:customStyle="1">
    <w:name w:val="Heading 6 Char"/>
    <w:basedOn w:val="DefaultParagraphFont"/>
    <w:link w:val="Heading6"/>
    <w:uiPriority w:val="4"/>
    <w:rsid w:val="00DA6F77"/>
    <w:rPr>
      <w:rFonts w:ascii="Arial" w:hAnsi="Arial" w:eastAsia="Times New Roman" w:cs="Arial"/>
      <w:i/>
      <w:iCs/>
      <w:color w:val="3FA6CC" w:themeColor="text1"/>
      <w:sz w:val="20"/>
      <w:szCs w:val="20"/>
    </w:rPr>
  </w:style>
  <w:style w:type="character" w:styleId="Heading7Char" w:customStyle="1">
    <w:name w:val="Heading 7 Char"/>
    <w:basedOn w:val="DefaultParagraphFont"/>
    <w:link w:val="Heading7"/>
    <w:uiPriority w:val="4"/>
    <w:semiHidden/>
    <w:rsid w:val="00DA6F77"/>
    <w:rPr>
      <w:rFonts w:ascii="Arial" w:hAnsi="Arial" w:eastAsia="Times New Roman" w:cs="Arial"/>
      <w:iCs/>
      <w:color w:val="3FA6CC" w:themeColor="text1"/>
      <w:sz w:val="24"/>
      <w:szCs w:val="20"/>
    </w:rPr>
  </w:style>
  <w:style w:type="character" w:styleId="Heading8Char" w:customStyle="1">
    <w:name w:val="Heading 8 Char"/>
    <w:basedOn w:val="DefaultParagraphFont"/>
    <w:link w:val="Heading8"/>
    <w:semiHidden/>
    <w:rsid w:val="003D08BD"/>
    <w:rPr>
      <w:rFonts w:ascii="Arial" w:hAnsi="Arial" w:eastAsia="Times New Roman" w:cs="Arial"/>
      <w:b/>
      <w:iCs/>
      <w:color w:val="3FA6CC" w:themeColor="text1"/>
      <w:sz w:val="20"/>
      <w:szCs w:val="20"/>
    </w:rPr>
  </w:style>
  <w:style w:type="character" w:styleId="Heading9Char" w:customStyle="1">
    <w:name w:val="Heading 9 Char"/>
    <w:basedOn w:val="DefaultParagraphFont"/>
    <w:link w:val="Heading9"/>
    <w:semiHidden/>
    <w:rsid w:val="003D08BD"/>
    <w:rPr>
      <w:rFonts w:ascii="Arial" w:hAnsi="Arial" w:eastAsia="Times New Roman" w:cs="Arial"/>
      <w:b/>
      <w:iCs/>
      <w:color w:val="3FA6CC" w:themeColor="text1"/>
      <w:sz w:val="20"/>
      <w:szCs w:val="20"/>
    </w:rPr>
  </w:style>
  <w:style w:type="character" w:styleId="Hyperlink">
    <w:name w:val="Hyperlink"/>
    <w:basedOn w:val="DefaultParagraphFont"/>
    <w:uiPriority w:val="99"/>
    <w:rsid w:val="0098213E"/>
    <w:rPr>
      <w:color w:val="0000FF"/>
      <w:u w:val="single"/>
    </w:rPr>
  </w:style>
  <w:style w:type="paragraph" w:styleId="OrangeTitle" w:customStyle="1">
    <w:name w:val="OrangeTitle"/>
    <w:basedOn w:val="Normal"/>
    <w:uiPriority w:val="3"/>
    <w:rsid w:val="0098213E"/>
    <w:pPr>
      <w:spacing w:after="60"/>
      <w:jc w:val="left"/>
    </w:pPr>
    <w:rPr>
      <w:caps/>
      <w:color w:val="F06A00"/>
    </w:rPr>
  </w:style>
  <w:style w:type="character" w:styleId="PageNumber">
    <w:name w:val="page number"/>
    <w:basedOn w:val="DefaultParagraphFont"/>
    <w:uiPriority w:val="3"/>
    <w:rsid w:val="0098213E"/>
  </w:style>
  <w:style w:type="paragraph" w:styleId="ReportDate" w:customStyle="1">
    <w:name w:val="ReportDate"/>
    <w:basedOn w:val="Normal"/>
    <w:next w:val="Normal"/>
    <w:uiPriority w:val="3"/>
    <w:rsid w:val="0098213E"/>
    <w:pPr>
      <w:framePr w:w="2030" w:hSpace="187" w:wrap="auto" w:hAnchor="page" w:vAnchor="page" w:x="8699" w:y="13249" w:anchorLock="1"/>
      <w:spacing w:line="240" w:lineRule="auto"/>
      <w:jc w:val="right"/>
    </w:pPr>
    <w:rPr>
      <w:b/>
      <w:iCs w:val="0"/>
      <w:noProof/>
      <w:color w:val="auto"/>
      <w:sz w:val="18"/>
    </w:rPr>
  </w:style>
  <w:style w:type="paragraph" w:styleId="TableofFigures">
    <w:name w:val="table of figures"/>
    <w:basedOn w:val="Normal"/>
    <w:next w:val="Normal"/>
    <w:semiHidden/>
    <w:rsid w:val="0098213E"/>
  </w:style>
  <w:style w:type="paragraph" w:styleId="TOC1">
    <w:name w:val="toc 1"/>
    <w:next w:val="BodyTextGrey"/>
    <w:link w:val="TOC1Char"/>
    <w:uiPriority w:val="39"/>
    <w:rsid w:val="001307E4"/>
    <w:pPr>
      <w:tabs>
        <w:tab w:val="left" w:pos="454"/>
        <w:tab w:val="left" w:pos="9526"/>
      </w:tabs>
    </w:pPr>
    <w:rPr>
      <w:rFonts w:ascii="Arial" w:hAnsi="Arial" w:cs="Arial"/>
      <w:iCs/>
      <w:color w:val="455560"/>
    </w:rPr>
  </w:style>
  <w:style w:type="paragraph" w:styleId="TOC2">
    <w:name w:val="toc 2"/>
    <w:basedOn w:val="Normal"/>
    <w:next w:val="Normal"/>
    <w:uiPriority w:val="39"/>
    <w:rsid w:val="0098213E"/>
    <w:pPr>
      <w:tabs>
        <w:tab w:val="right" w:pos="8648"/>
      </w:tabs>
      <w:spacing w:before="240"/>
    </w:pPr>
    <w:rPr>
      <w:rFonts w:ascii="Times New Roman" w:hAnsi="Times New Roman"/>
    </w:rPr>
  </w:style>
  <w:style w:type="paragraph" w:styleId="TOC3">
    <w:name w:val="toc 3"/>
    <w:basedOn w:val="Normal"/>
    <w:next w:val="Normal"/>
    <w:uiPriority w:val="39"/>
    <w:rsid w:val="0098213E"/>
    <w:pPr>
      <w:tabs>
        <w:tab w:val="right" w:pos="8648"/>
      </w:tabs>
      <w:ind w:left="200"/>
    </w:pPr>
    <w:rPr>
      <w:rFonts w:ascii="Times New Roman" w:hAnsi="Times New Roman"/>
      <w:b/>
    </w:rPr>
  </w:style>
  <w:style w:type="paragraph" w:styleId="TOC4">
    <w:name w:val="toc 4"/>
    <w:basedOn w:val="Normal"/>
    <w:next w:val="Normal"/>
    <w:uiPriority w:val="3"/>
    <w:rsid w:val="0098213E"/>
    <w:pPr>
      <w:tabs>
        <w:tab w:val="right" w:pos="8648"/>
      </w:tabs>
      <w:ind w:left="400"/>
    </w:pPr>
    <w:rPr>
      <w:rFonts w:ascii="Times New Roman" w:hAnsi="Times New Roman"/>
      <w:b/>
    </w:rPr>
  </w:style>
  <w:style w:type="paragraph" w:styleId="TOC5">
    <w:name w:val="toc 5"/>
    <w:basedOn w:val="Normal"/>
    <w:next w:val="Normal"/>
    <w:semiHidden/>
    <w:rsid w:val="0098213E"/>
    <w:pPr>
      <w:tabs>
        <w:tab w:val="right" w:pos="8648"/>
      </w:tabs>
      <w:ind w:left="600"/>
    </w:pPr>
    <w:rPr>
      <w:rFonts w:ascii="Times New Roman" w:hAnsi="Times New Roman"/>
      <w:b/>
    </w:rPr>
  </w:style>
  <w:style w:type="paragraph" w:styleId="TOC6">
    <w:name w:val="toc 6"/>
    <w:basedOn w:val="Normal"/>
    <w:next w:val="Normal"/>
    <w:semiHidden/>
    <w:rsid w:val="0098213E"/>
    <w:pPr>
      <w:tabs>
        <w:tab w:val="right" w:pos="8648"/>
      </w:tabs>
      <w:ind w:left="800"/>
    </w:pPr>
    <w:rPr>
      <w:rFonts w:ascii="Times New Roman" w:hAnsi="Times New Roman"/>
      <w:b/>
    </w:rPr>
  </w:style>
  <w:style w:type="paragraph" w:styleId="TOC7">
    <w:name w:val="toc 7"/>
    <w:basedOn w:val="Normal"/>
    <w:next w:val="Normal"/>
    <w:semiHidden/>
    <w:rsid w:val="0098213E"/>
    <w:pPr>
      <w:tabs>
        <w:tab w:val="right" w:pos="8648"/>
      </w:tabs>
      <w:ind w:left="1000"/>
    </w:pPr>
    <w:rPr>
      <w:rFonts w:ascii="Times New Roman" w:hAnsi="Times New Roman"/>
      <w:b/>
    </w:rPr>
  </w:style>
  <w:style w:type="paragraph" w:styleId="TOC8">
    <w:name w:val="toc 8"/>
    <w:basedOn w:val="Normal"/>
    <w:next w:val="Normal"/>
    <w:semiHidden/>
    <w:rsid w:val="0098213E"/>
    <w:pPr>
      <w:tabs>
        <w:tab w:val="right" w:pos="8648"/>
      </w:tabs>
      <w:ind w:left="1200"/>
    </w:pPr>
    <w:rPr>
      <w:rFonts w:ascii="Times New Roman" w:hAnsi="Times New Roman"/>
      <w:b/>
    </w:rPr>
  </w:style>
  <w:style w:type="paragraph" w:styleId="TOC9">
    <w:name w:val="toc 9"/>
    <w:basedOn w:val="Normal"/>
    <w:next w:val="Normal"/>
    <w:semiHidden/>
    <w:rsid w:val="0098213E"/>
    <w:pPr>
      <w:tabs>
        <w:tab w:val="right" w:pos="8648"/>
      </w:tabs>
      <w:ind w:left="1400"/>
    </w:pPr>
    <w:rPr>
      <w:rFonts w:ascii="Times New Roman" w:hAnsi="Times New Roman"/>
      <w:b/>
    </w:rPr>
  </w:style>
  <w:style w:type="paragraph" w:styleId="NoSpacing">
    <w:name w:val="No Spacing"/>
    <w:uiPriority w:val="3"/>
    <w:rsid w:val="0098213E"/>
    <w:pPr>
      <w:spacing w:after="0"/>
      <w:jc w:val="both"/>
    </w:pPr>
    <w:rPr>
      <w:rFonts w:ascii="Arial" w:hAnsi="Arial" w:cs="Arial"/>
      <w:iCs/>
      <w:color w:val="4B4B4B"/>
    </w:rPr>
  </w:style>
  <w:style w:type="table" w:styleId="MediumGrid3-Accent2">
    <w:name w:val="Medium Grid 3 Accent 2"/>
    <w:basedOn w:val="TableNormal"/>
    <w:uiPriority w:val="69"/>
    <w:rsid w:val="0098213E"/>
    <w:pPr>
      <w:spacing w:after="0"/>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D2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4B4B"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4B4B"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4B4B"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4B4B"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A5A5"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A5A5" w:themeFill="accent2" w:themeFillTint="7F"/>
      </w:tcPr>
    </w:tblStylePr>
  </w:style>
  <w:style w:type="table" w:styleId="MediumShading1-Accent4">
    <w:name w:val="Medium Shading 1 Accent 4"/>
    <w:basedOn w:val="TableNormal"/>
    <w:uiPriority w:val="63"/>
    <w:rsid w:val="0098213E"/>
    <w:pPr>
      <w:spacing w:after="0"/>
    </w:pPr>
    <w:tblPr>
      <w:tblStyleRowBandSize w:val="1"/>
      <w:tblStyleColBandSize w:val="1"/>
      <w:tblBorders>
        <w:top w:val="single" w:color="6EBCD8" w:themeColor="accent4" w:themeTint="BF" w:sz="8" w:space="0"/>
        <w:left w:val="single" w:color="6EBCD8" w:themeColor="accent4" w:themeTint="BF" w:sz="8" w:space="0"/>
        <w:bottom w:val="single" w:color="6EBCD8" w:themeColor="accent4" w:themeTint="BF" w:sz="8" w:space="0"/>
        <w:right w:val="single" w:color="6EBCD8" w:themeColor="accent4" w:themeTint="BF" w:sz="8" w:space="0"/>
        <w:insideH w:val="single" w:color="6EBCD8" w:themeColor="accent4" w:themeTint="BF" w:sz="8" w:space="0"/>
      </w:tblBorders>
    </w:tblPr>
    <w:tblStylePr w:type="firstRow">
      <w:pPr>
        <w:spacing w:before="0" w:after="0" w:line="240" w:lineRule="auto"/>
      </w:pPr>
      <w:rPr>
        <w:b/>
        <w:bCs/>
        <w:color w:val="FFFFFF" w:themeColor="background1"/>
      </w:rPr>
      <w:tblPr/>
      <w:tcPr>
        <w:tcBorders>
          <w:top w:val="single" w:color="6EBCD8" w:themeColor="accent4" w:themeTint="BF" w:sz="8" w:space="0"/>
          <w:left w:val="single" w:color="6EBCD8" w:themeColor="accent4" w:themeTint="BF" w:sz="8" w:space="0"/>
          <w:bottom w:val="single" w:color="6EBCD8" w:themeColor="accent4" w:themeTint="BF" w:sz="8" w:space="0"/>
          <w:right w:val="single" w:color="6EBCD8" w:themeColor="accent4" w:themeTint="BF" w:sz="8" w:space="0"/>
          <w:insideH w:val="nil"/>
          <w:insideV w:val="nil"/>
        </w:tcBorders>
        <w:shd w:val="clear" w:color="auto" w:fill="3FA6CC" w:themeFill="accent4"/>
      </w:tcPr>
    </w:tblStylePr>
    <w:tblStylePr w:type="lastRow">
      <w:pPr>
        <w:spacing w:before="0" w:after="0" w:line="240" w:lineRule="auto"/>
      </w:pPr>
      <w:rPr>
        <w:b/>
        <w:bCs/>
      </w:rPr>
      <w:tblPr/>
      <w:tcPr>
        <w:tcBorders>
          <w:top w:val="double" w:color="6EBCD8" w:themeColor="accent4" w:themeTint="BF" w:sz="6" w:space="0"/>
          <w:left w:val="single" w:color="6EBCD8" w:themeColor="accent4" w:themeTint="BF" w:sz="8" w:space="0"/>
          <w:bottom w:val="single" w:color="6EBCD8" w:themeColor="accent4" w:themeTint="BF" w:sz="8" w:space="0"/>
          <w:right w:val="single" w:color="6EBCD8"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CFE8F2" w:themeFill="accent4" w:themeFillTint="3F"/>
      </w:tcPr>
    </w:tblStylePr>
    <w:tblStylePr w:type="band1Horz">
      <w:tblPr/>
      <w:tcPr>
        <w:tcBorders>
          <w:insideH w:val="nil"/>
          <w:insideV w:val="nil"/>
        </w:tcBorders>
        <w:shd w:val="clear" w:color="auto" w:fill="CFE8F2" w:themeFill="accent4"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8213E"/>
    <w:pPr>
      <w:spacing w:after="0"/>
    </w:pPr>
    <w:tblPr>
      <w:tblStyleRowBandSize w:val="1"/>
      <w:tblStyleColBandSize w:val="1"/>
      <w:tblBorders>
        <w:top w:val="single" w:color="92CF6F" w:themeColor="accent6" w:themeTint="BF" w:sz="8" w:space="0"/>
        <w:left w:val="single" w:color="92CF6F" w:themeColor="accent6" w:themeTint="BF" w:sz="8" w:space="0"/>
        <w:bottom w:val="single" w:color="92CF6F" w:themeColor="accent6" w:themeTint="BF" w:sz="8" w:space="0"/>
        <w:right w:val="single" w:color="92CF6F" w:themeColor="accent6" w:themeTint="BF" w:sz="8" w:space="0"/>
        <w:insideH w:val="single" w:color="92CF6F" w:themeColor="accent6" w:themeTint="BF" w:sz="8" w:space="0"/>
      </w:tblBorders>
    </w:tblPr>
    <w:tblStylePr w:type="firstRow">
      <w:pPr>
        <w:spacing w:before="0" w:after="0" w:line="240" w:lineRule="auto"/>
      </w:pPr>
      <w:rPr>
        <w:rFonts w:ascii="Arial" w:hAnsi="Arial"/>
        <w:b/>
        <w:bCs/>
        <w:i w:val="0"/>
        <w:color w:val="FFFFFF" w:themeColor="background1"/>
      </w:rPr>
      <w:tblPr/>
      <w:tcPr>
        <w:tcBorders>
          <w:top w:val="single" w:color="92CF6F" w:themeColor="accent6" w:themeTint="BF" w:sz="8" w:space="0"/>
          <w:left w:val="single" w:color="92CF6F" w:themeColor="accent6" w:themeTint="BF" w:sz="8" w:space="0"/>
          <w:bottom w:val="single" w:color="92CF6F" w:themeColor="accent6" w:themeTint="BF" w:sz="8" w:space="0"/>
          <w:right w:val="single" w:color="92CF6F" w:themeColor="accent6" w:themeTint="BF" w:sz="8" w:space="0"/>
          <w:insideH w:val="nil"/>
          <w:insideV w:val="nil"/>
        </w:tcBorders>
        <w:shd w:val="clear" w:color="auto" w:fill="6EC040" w:themeFill="accent6"/>
      </w:tcPr>
    </w:tblStylePr>
    <w:tblStylePr w:type="lastRow">
      <w:pPr>
        <w:spacing w:before="0" w:after="0" w:line="240" w:lineRule="auto"/>
      </w:pPr>
      <w:rPr>
        <w:b/>
        <w:bCs/>
      </w:rPr>
      <w:tblPr/>
      <w:tcPr>
        <w:tcBorders>
          <w:top w:val="double" w:color="92CF6F" w:themeColor="accent6" w:themeTint="BF" w:sz="6" w:space="0"/>
          <w:left w:val="single" w:color="92CF6F" w:themeColor="accent6" w:themeTint="BF" w:sz="8" w:space="0"/>
          <w:bottom w:val="single" w:color="92CF6F" w:themeColor="accent6" w:themeTint="BF" w:sz="8" w:space="0"/>
          <w:right w:val="single" w:color="92CF6F"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AEFCF" w:themeFill="accent6" w:themeFillTint="3F"/>
      </w:tcPr>
    </w:tblStylePr>
    <w:tblStylePr w:type="band1Horz">
      <w:tblPr/>
      <w:tcPr>
        <w:tcBorders>
          <w:insideH w:val="nil"/>
          <w:insideV w:val="nil"/>
        </w:tcBorders>
        <w:shd w:val="clear" w:color="auto" w:fill="DAEFC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8213E"/>
    <w:pPr>
      <w:spacing w:after="0"/>
    </w:pPr>
    <w:tblPr>
      <w:tblStyleRowBandSize w:val="1"/>
      <w:tblStyleColBandSize w:val="1"/>
      <w:tblBorders>
        <w:top w:val="single" w:color="8A8A8A" w:themeColor="accent5" w:themeTint="BF" w:sz="8" w:space="0"/>
        <w:left w:val="single" w:color="8A8A8A" w:themeColor="accent5" w:themeTint="BF" w:sz="8" w:space="0"/>
        <w:bottom w:val="single" w:color="8A8A8A" w:themeColor="accent5" w:themeTint="BF" w:sz="8" w:space="0"/>
        <w:right w:val="single" w:color="8A8A8A" w:themeColor="accent5" w:themeTint="BF" w:sz="8" w:space="0"/>
        <w:insideH w:val="single" w:color="8A8A8A" w:themeColor="accent5" w:themeTint="BF" w:sz="8" w:space="0"/>
      </w:tblBorders>
    </w:tblPr>
    <w:tblStylePr w:type="firstRow">
      <w:pPr>
        <w:spacing w:before="0" w:after="0" w:line="240" w:lineRule="auto"/>
      </w:pPr>
      <w:rPr>
        <w:b/>
        <w:bCs/>
        <w:color w:val="FFFFFF" w:themeColor="background1"/>
      </w:rPr>
      <w:tblPr/>
      <w:tcPr>
        <w:tcBorders>
          <w:top w:val="single" w:color="8A8A8A" w:themeColor="accent5" w:themeTint="BF" w:sz="8" w:space="0"/>
          <w:left w:val="single" w:color="8A8A8A" w:themeColor="accent5" w:themeTint="BF" w:sz="8" w:space="0"/>
          <w:bottom w:val="single" w:color="8A8A8A" w:themeColor="accent5" w:themeTint="BF" w:sz="8" w:space="0"/>
          <w:right w:val="single" w:color="8A8A8A" w:themeColor="accent5" w:themeTint="BF" w:sz="8" w:space="0"/>
          <w:insideH w:val="nil"/>
          <w:insideV w:val="nil"/>
        </w:tcBorders>
        <w:shd w:val="clear" w:color="auto" w:fill="646464" w:themeFill="accent5"/>
      </w:tcPr>
    </w:tblStylePr>
    <w:tblStylePr w:type="lastRow">
      <w:pPr>
        <w:spacing w:before="0" w:after="0" w:line="240" w:lineRule="auto"/>
      </w:pPr>
      <w:rPr>
        <w:b/>
        <w:bCs/>
      </w:rPr>
      <w:tblPr/>
      <w:tcPr>
        <w:tcBorders>
          <w:top w:val="double" w:color="8A8A8A" w:themeColor="accent5" w:themeTint="BF" w:sz="6" w:space="0"/>
          <w:left w:val="single" w:color="8A8A8A" w:themeColor="accent5" w:themeTint="BF" w:sz="8" w:space="0"/>
          <w:bottom w:val="single" w:color="8A8A8A" w:themeColor="accent5" w:themeTint="BF" w:sz="8" w:space="0"/>
          <w:right w:val="single" w:color="8A8A8A"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8D8D8" w:themeFill="accent5" w:themeFillTint="3F"/>
      </w:tcPr>
    </w:tblStylePr>
    <w:tblStylePr w:type="band1Horz">
      <w:tblPr/>
      <w:tcPr>
        <w:tcBorders>
          <w:insideH w:val="nil"/>
          <w:insideV w:val="nil"/>
        </w:tcBorders>
        <w:shd w:val="clear" w:color="auto" w:fill="D8D8D8" w:themeFill="accent5"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98213E"/>
    <w:pPr>
      <w:spacing w:after="0"/>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6EC040"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6EC040" w:themeFill="accent6"/>
      </w:tcPr>
    </w:tblStylePr>
    <w:tblStylePr w:type="lastCol">
      <w:rPr>
        <w:b/>
        <w:bCs/>
        <w:color w:val="FFFFFF" w:themeColor="background1"/>
      </w:rPr>
      <w:tblPr/>
      <w:tcPr>
        <w:tcBorders>
          <w:left w:val="nil"/>
          <w:right w:val="nil"/>
          <w:insideH w:val="nil"/>
          <w:insideV w:val="nil"/>
        </w:tcBorders>
        <w:shd w:val="clear" w:color="auto" w:fill="6EC04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DarkList-Accent3">
    <w:name w:val="Dark List Accent 3"/>
    <w:basedOn w:val="TableNormal"/>
    <w:uiPriority w:val="70"/>
    <w:rsid w:val="0098213E"/>
    <w:pPr>
      <w:spacing w:after="0"/>
    </w:pPr>
    <w:rPr>
      <w:color w:val="FFFFFF" w:themeColor="background1"/>
    </w:rPr>
    <w:tblPr>
      <w:tblStyleRowBandSize w:val="1"/>
      <w:tblStyleColBandSize w:val="1"/>
    </w:tblPr>
    <w:tcPr>
      <w:shd w:val="clear" w:color="auto" w:fill="F2016C"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3FA6CC" w:themeFill="text1"/>
      </w:tcPr>
    </w:tblStylePr>
    <w:tblStylePr w:type="lastRow">
      <w:tblPr/>
      <w:tcPr>
        <w:tcBorders>
          <w:top w:val="single" w:color="FFFFFF" w:themeColor="background1" w:sz="18" w:space="0"/>
          <w:left w:val="nil"/>
          <w:bottom w:val="nil"/>
          <w:right w:val="nil"/>
          <w:insideH w:val="nil"/>
          <w:insideV w:val="nil"/>
        </w:tcBorders>
        <w:shd w:val="clear" w:color="auto" w:fill="780035"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B50050"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B50050" w:themeFill="accent3" w:themeFillShade="BF"/>
      </w:tcPr>
    </w:tblStylePr>
    <w:tblStylePr w:type="band1Vert">
      <w:tblPr/>
      <w:tcPr>
        <w:tcBorders>
          <w:top w:val="nil"/>
          <w:left w:val="nil"/>
          <w:bottom w:val="nil"/>
          <w:right w:val="nil"/>
          <w:insideH w:val="nil"/>
          <w:insideV w:val="nil"/>
        </w:tcBorders>
        <w:shd w:val="clear" w:color="auto" w:fill="B50050" w:themeFill="accent3" w:themeFillShade="BF"/>
      </w:tcPr>
    </w:tblStylePr>
    <w:tblStylePr w:type="band1Horz">
      <w:tblPr/>
      <w:tcPr>
        <w:tcBorders>
          <w:top w:val="nil"/>
          <w:left w:val="nil"/>
          <w:bottom w:val="nil"/>
          <w:right w:val="nil"/>
          <w:insideH w:val="nil"/>
          <w:insideV w:val="nil"/>
        </w:tcBorders>
        <w:shd w:val="clear" w:color="auto" w:fill="B50050" w:themeFill="accent3" w:themeFillShade="BF"/>
      </w:tcPr>
    </w:tblStylePr>
  </w:style>
  <w:style w:type="table" w:styleId="LightList-Accent11" w:customStyle="1">
    <w:name w:val="Light List - Accent 11"/>
    <w:basedOn w:val="TableNormal"/>
    <w:uiPriority w:val="61"/>
    <w:rsid w:val="0098213E"/>
    <w:pPr>
      <w:spacing w:after="0"/>
    </w:pPr>
    <w:tblPr>
      <w:tblStyleRowBandSize w:val="1"/>
      <w:tblStyleColBandSize w:val="1"/>
      <w:tblBorders>
        <w:top w:val="single" w:color="F06A00" w:themeColor="accent1" w:sz="8" w:space="0"/>
        <w:left w:val="single" w:color="F06A00" w:themeColor="accent1" w:sz="8" w:space="0"/>
        <w:bottom w:val="single" w:color="F06A00" w:themeColor="accent1" w:sz="8" w:space="0"/>
        <w:right w:val="single" w:color="F06A00" w:themeColor="accent1" w:sz="8" w:space="0"/>
      </w:tblBorders>
    </w:tblPr>
    <w:tblStylePr w:type="firstRow">
      <w:pPr>
        <w:spacing w:before="0" w:after="0" w:line="240" w:lineRule="auto"/>
      </w:pPr>
      <w:rPr>
        <w:b/>
        <w:bCs/>
        <w:color w:val="FFFFFF" w:themeColor="background1"/>
      </w:rPr>
      <w:tblPr/>
      <w:tcPr>
        <w:shd w:val="clear" w:color="auto" w:fill="F06A00" w:themeFill="accent1"/>
      </w:tcPr>
    </w:tblStylePr>
    <w:tblStylePr w:type="lastRow">
      <w:pPr>
        <w:spacing w:before="0" w:after="0" w:line="240" w:lineRule="auto"/>
      </w:pPr>
      <w:rPr>
        <w:b/>
        <w:bCs/>
      </w:rPr>
      <w:tblPr/>
      <w:tcPr>
        <w:tcBorders>
          <w:top w:val="double" w:color="F06A00" w:themeColor="accent1" w:sz="6" w:space="0"/>
          <w:left w:val="single" w:color="F06A00" w:themeColor="accent1" w:sz="8" w:space="0"/>
          <w:bottom w:val="single" w:color="F06A00" w:themeColor="accent1" w:sz="8" w:space="0"/>
          <w:right w:val="single" w:color="F06A00" w:themeColor="accent1" w:sz="8" w:space="0"/>
        </w:tcBorders>
      </w:tcPr>
    </w:tblStylePr>
    <w:tblStylePr w:type="firstCol">
      <w:rPr>
        <w:b/>
        <w:bCs/>
      </w:rPr>
    </w:tblStylePr>
    <w:tblStylePr w:type="lastCol">
      <w:rPr>
        <w:b/>
        <w:bCs/>
      </w:rPr>
    </w:tblStylePr>
    <w:tblStylePr w:type="band1Vert">
      <w:tblPr/>
      <w:tcPr>
        <w:tcBorders>
          <w:top w:val="single" w:color="F06A00" w:themeColor="accent1" w:sz="8" w:space="0"/>
          <w:left w:val="single" w:color="F06A00" w:themeColor="accent1" w:sz="8" w:space="0"/>
          <w:bottom w:val="single" w:color="F06A00" w:themeColor="accent1" w:sz="8" w:space="0"/>
          <w:right w:val="single" w:color="F06A00" w:themeColor="accent1" w:sz="8" w:space="0"/>
        </w:tcBorders>
      </w:tcPr>
    </w:tblStylePr>
    <w:tblStylePr w:type="band1Horz">
      <w:tblPr/>
      <w:tcPr>
        <w:tcBorders>
          <w:top w:val="single" w:color="F06A00" w:themeColor="accent1" w:sz="8" w:space="0"/>
          <w:left w:val="single" w:color="F06A00" w:themeColor="accent1" w:sz="8" w:space="0"/>
          <w:bottom w:val="single" w:color="F06A00" w:themeColor="accent1" w:sz="8" w:space="0"/>
          <w:right w:val="single" w:color="F06A00" w:themeColor="accent1" w:sz="8" w:space="0"/>
        </w:tcBorders>
      </w:tcPr>
    </w:tblStylePr>
  </w:style>
  <w:style w:type="table" w:styleId="LightList1" w:customStyle="1">
    <w:name w:val="Light List1"/>
    <w:basedOn w:val="TableNormal"/>
    <w:uiPriority w:val="61"/>
    <w:rsid w:val="00A134C9"/>
    <w:pPr>
      <w:spacing w:after="0"/>
    </w:pPr>
    <w:tblPr>
      <w:tblStyleRowBandSize w:val="1"/>
      <w:tblStyleColBandSize w:val="1"/>
      <w:tblBorders>
        <w:top w:val="single" w:color="3FA6CC" w:themeColor="text1" w:sz="8" w:space="0"/>
        <w:left w:val="single" w:color="3FA6CC" w:themeColor="text1" w:sz="8" w:space="0"/>
        <w:bottom w:val="single" w:color="3FA6CC" w:themeColor="text1" w:sz="8" w:space="0"/>
        <w:right w:val="single" w:color="3FA6CC" w:themeColor="text1" w:sz="8" w:space="0"/>
      </w:tblBorders>
    </w:tblPr>
    <w:tblStylePr w:type="firstRow">
      <w:pPr>
        <w:spacing w:before="0" w:after="0" w:line="240" w:lineRule="auto"/>
      </w:pPr>
      <w:rPr>
        <w:b w:val="0"/>
        <w:bCs/>
        <w:color w:val="FFFFFF" w:themeColor="background1"/>
      </w:rPr>
      <w:tblPr/>
      <w:tcPr>
        <w:shd w:val="clear" w:color="auto" w:fill="E1F2D8" w:themeFill="text2" w:themeFillTint="33"/>
      </w:tcPr>
    </w:tblStylePr>
    <w:tblStylePr w:type="lastRow">
      <w:pPr>
        <w:spacing w:before="0" w:after="0" w:line="240" w:lineRule="auto"/>
      </w:pPr>
      <w:rPr>
        <w:b/>
        <w:bCs/>
      </w:rPr>
      <w:tblPr/>
      <w:tcPr>
        <w:tcBorders>
          <w:top w:val="double" w:color="3FA6CC" w:themeColor="text1" w:sz="6" w:space="0"/>
          <w:left w:val="single" w:color="3FA6CC" w:themeColor="text1" w:sz="8" w:space="0"/>
          <w:bottom w:val="single" w:color="3FA6CC" w:themeColor="text1" w:sz="8" w:space="0"/>
          <w:right w:val="single" w:color="3FA6CC" w:themeColor="text1" w:sz="8" w:space="0"/>
        </w:tcBorders>
      </w:tcPr>
    </w:tblStylePr>
    <w:tblStylePr w:type="firstCol">
      <w:rPr>
        <w:b w:val="0"/>
        <w:bCs/>
        <w:i w:val="0"/>
      </w:rPr>
    </w:tblStylePr>
    <w:tblStylePr w:type="lastCol">
      <w:rPr>
        <w:b w:val="0"/>
        <w:bCs/>
        <w:i w:val="0"/>
      </w:rPr>
    </w:tblStylePr>
    <w:tblStylePr w:type="band1Vert">
      <w:tblPr/>
      <w:tcPr>
        <w:tcBorders>
          <w:top w:val="single" w:color="3FA6CC" w:themeColor="text1" w:sz="8" w:space="0"/>
          <w:left w:val="single" w:color="3FA6CC" w:themeColor="text1" w:sz="8" w:space="0"/>
          <w:bottom w:val="single" w:color="3FA6CC" w:themeColor="text1" w:sz="8" w:space="0"/>
          <w:right w:val="single" w:color="3FA6CC" w:themeColor="text1" w:sz="8" w:space="0"/>
        </w:tcBorders>
      </w:tcPr>
    </w:tblStylePr>
    <w:tblStylePr w:type="band1Horz">
      <w:rPr>
        <w:color w:val="3FA6CC" w:themeColor="text1"/>
      </w:rPr>
      <w:tblPr/>
      <w:tcPr>
        <w:tcBorders>
          <w:top w:val="single" w:color="3FA6CC" w:themeColor="text1" w:sz="8" w:space="0"/>
          <w:left w:val="single" w:color="3FA6CC" w:themeColor="text1" w:sz="8" w:space="0"/>
          <w:bottom w:val="single" w:color="3FA6CC" w:themeColor="text1" w:sz="8" w:space="0"/>
          <w:right w:val="single" w:color="3FA6CC" w:themeColor="text1" w:sz="8" w:space="0"/>
        </w:tcBorders>
      </w:tcPr>
    </w:tblStylePr>
    <w:tblStylePr w:type="band2Horz">
      <w:rPr>
        <w:color w:val="3FA6CC" w:themeColor="text1"/>
      </w:rPr>
    </w:tblStylePr>
  </w:style>
  <w:style w:type="table" w:styleId="LightShading1" w:customStyle="1">
    <w:name w:val="Light Shading1"/>
    <w:basedOn w:val="TableNormal"/>
    <w:uiPriority w:val="60"/>
    <w:rsid w:val="0098213E"/>
    <w:pPr>
      <w:spacing w:after="0"/>
    </w:pPr>
    <w:rPr>
      <w:color w:val="2A7E9D" w:themeColor="text1" w:themeShade="BF"/>
    </w:rPr>
    <w:tblPr>
      <w:tblStyleRowBandSize w:val="1"/>
      <w:tblStyleColBandSize w:val="1"/>
      <w:tblBorders>
        <w:top w:val="single" w:color="3FA6CC" w:themeColor="text1" w:sz="8" w:space="0"/>
        <w:bottom w:val="single" w:color="3FA6CC" w:themeColor="text1" w:sz="8" w:space="0"/>
      </w:tblBorders>
    </w:tblPr>
    <w:tblStylePr w:type="firstRow">
      <w:pPr>
        <w:spacing w:before="0" w:after="0" w:line="240" w:lineRule="auto"/>
      </w:pPr>
      <w:rPr>
        <w:b/>
        <w:bCs/>
      </w:rPr>
      <w:tblPr/>
      <w:tcPr>
        <w:tcBorders>
          <w:top w:val="single" w:color="3FA6CC" w:themeColor="text1" w:sz="8" w:space="0"/>
          <w:left w:val="nil"/>
          <w:bottom w:val="single" w:color="3FA6CC" w:themeColor="text1" w:sz="8" w:space="0"/>
          <w:right w:val="nil"/>
          <w:insideH w:val="nil"/>
          <w:insideV w:val="nil"/>
        </w:tcBorders>
      </w:tcPr>
    </w:tblStylePr>
    <w:tblStylePr w:type="lastRow">
      <w:pPr>
        <w:spacing w:before="0" w:after="0" w:line="240" w:lineRule="auto"/>
      </w:pPr>
      <w:rPr>
        <w:b/>
        <w:bCs/>
      </w:rPr>
      <w:tblPr/>
      <w:tcPr>
        <w:tcBorders>
          <w:top w:val="single" w:color="3FA6CC" w:themeColor="text1" w:sz="8" w:space="0"/>
          <w:left w:val="nil"/>
          <w:bottom w:val="single" w:color="3FA6CC"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8F2" w:themeFill="text1" w:themeFillTint="3F"/>
      </w:tcPr>
    </w:tblStylePr>
    <w:tblStylePr w:type="band1Horz">
      <w:tblPr/>
      <w:tcPr>
        <w:tcBorders>
          <w:left w:val="nil"/>
          <w:right w:val="nil"/>
          <w:insideH w:val="nil"/>
          <w:insideV w:val="nil"/>
        </w:tcBorders>
        <w:shd w:val="clear" w:color="auto" w:fill="CFE8F2" w:themeFill="text1" w:themeFillTint="3F"/>
      </w:tcPr>
    </w:tblStylePr>
  </w:style>
  <w:style w:type="table" w:styleId="LightShading-Accent12" w:customStyle="1">
    <w:name w:val="Light Shading - Accent 12"/>
    <w:basedOn w:val="TableNormal"/>
    <w:uiPriority w:val="60"/>
    <w:rsid w:val="0098213E"/>
    <w:pPr>
      <w:spacing w:after="0"/>
    </w:pPr>
    <w:rPr>
      <w:color w:val="B34E00" w:themeColor="accent1" w:themeShade="BF"/>
    </w:rPr>
    <w:tblPr>
      <w:tblStyleRowBandSize w:val="1"/>
      <w:tblStyleColBandSize w:val="1"/>
      <w:tblBorders>
        <w:top w:val="single" w:color="F06A00" w:themeColor="accent1" w:sz="8" w:space="0"/>
        <w:bottom w:val="single" w:color="F06A00" w:themeColor="accent1" w:sz="8" w:space="0"/>
      </w:tblBorders>
    </w:tblPr>
    <w:tblStylePr w:type="firstRow">
      <w:pPr>
        <w:spacing w:before="0" w:after="0" w:line="240" w:lineRule="auto"/>
      </w:pPr>
      <w:rPr>
        <w:b/>
        <w:bCs/>
      </w:rPr>
      <w:tblPr/>
      <w:tcPr>
        <w:tcBorders>
          <w:top w:val="single" w:color="F06A00" w:themeColor="accent1" w:sz="8" w:space="0"/>
          <w:left w:val="nil"/>
          <w:bottom w:val="single" w:color="F06A00" w:themeColor="accent1" w:sz="8" w:space="0"/>
          <w:right w:val="nil"/>
          <w:insideH w:val="nil"/>
          <w:insideV w:val="nil"/>
        </w:tcBorders>
      </w:tcPr>
    </w:tblStylePr>
    <w:tblStylePr w:type="lastRow">
      <w:pPr>
        <w:spacing w:before="0" w:after="0" w:line="240" w:lineRule="auto"/>
      </w:pPr>
      <w:rPr>
        <w:b/>
        <w:bCs/>
      </w:rPr>
      <w:tblPr/>
      <w:tcPr>
        <w:tcBorders>
          <w:top w:val="single" w:color="F06A00" w:themeColor="accent1" w:sz="8" w:space="0"/>
          <w:left w:val="nil"/>
          <w:bottom w:val="single" w:color="F06A00"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BC" w:themeFill="accent1" w:themeFillTint="3F"/>
      </w:tcPr>
    </w:tblStylePr>
    <w:tblStylePr w:type="band1Horz">
      <w:tblPr/>
      <w:tcPr>
        <w:tcBorders>
          <w:left w:val="nil"/>
          <w:right w:val="nil"/>
          <w:insideH w:val="nil"/>
          <w:insideV w:val="nil"/>
        </w:tcBorders>
        <w:shd w:val="clear" w:color="auto" w:fill="FFD9BC" w:themeFill="accent1" w:themeFillTint="3F"/>
      </w:tcPr>
    </w:tblStylePr>
  </w:style>
  <w:style w:type="table" w:styleId="LightShading-Accent2">
    <w:name w:val="Light Shading Accent 2"/>
    <w:basedOn w:val="TableNormal"/>
    <w:uiPriority w:val="60"/>
    <w:rsid w:val="0098213E"/>
    <w:pPr>
      <w:spacing w:after="0"/>
    </w:pPr>
    <w:rPr>
      <w:color w:val="383838" w:themeColor="accent2" w:themeShade="BF"/>
    </w:rPr>
    <w:tblPr>
      <w:tblStyleRowBandSize w:val="1"/>
      <w:tblStyleColBandSize w:val="1"/>
      <w:tblBorders>
        <w:top w:val="single" w:color="4B4B4B" w:themeColor="accent2" w:sz="8" w:space="0"/>
        <w:bottom w:val="single" w:color="4B4B4B" w:themeColor="accent2" w:sz="8" w:space="0"/>
      </w:tblBorders>
    </w:tblPr>
    <w:tblStylePr w:type="firstRow">
      <w:pPr>
        <w:spacing w:before="0" w:after="0" w:line="240" w:lineRule="auto"/>
      </w:pPr>
      <w:rPr>
        <w:b/>
        <w:bCs/>
      </w:rPr>
      <w:tblPr/>
      <w:tcPr>
        <w:tcBorders>
          <w:top w:val="single" w:color="4B4B4B" w:themeColor="accent2" w:sz="8" w:space="0"/>
          <w:left w:val="nil"/>
          <w:bottom w:val="single" w:color="4B4B4B" w:themeColor="accent2" w:sz="8" w:space="0"/>
          <w:right w:val="nil"/>
          <w:insideH w:val="nil"/>
          <w:insideV w:val="nil"/>
        </w:tcBorders>
      </w:tcPr>
    </w:tblStylePr>
    <w:tblStylePr w:type="lastRow">
      <w:pPr>
        <w:spacing w:before="0" w:after="0" w:line="240" w:lineRule="auto"/>
      </w:pPr>
      <w:rPr>
        <w:b/>
        <w:bCs/>
      </w:rPr>
      <w:tblPr/>
      <w:tcPr>
        <w:tcBorders>
          <w:top w:val="single" w:color="4B4B4B" w:themeColor="accent2" w:sz="8" w:space="0"/>
          <w:left w:val="nil"/>
          <w:bottom w:val="single" w:color="4B4B4B"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D2" w:themeFill="accent2" w:themeFillTint="3F"/>
      </w:tcPr>
    </w:tblStylePr>
    <w:tblStylePr w:type="band1Horz">
      <w:tblPr/>
      <w:tcPr>
        <w:tcBorders>
          <w:left w:val="nil"/>
          <w:right w:val="nil"/>
          <w:insideH w:val="nil"/>
          <w:insideV w:val="nil"/>
        </w:tcBorders>
        <w:shd w:val="clear" w:color="auto" w:fill="D2D2D2" w:themeFill="accent2" w:themeFillTint="3F"/>
      </w:tcPr>
    </w:tblStylePr>
  </w:style>
  <w:style w:type="table" w:styleId="LightShading-Accent3">
    <w:name w:val="Light Shading Accent 3"/>
    <w:basedOn w:val="TableNormal"/>
    <w:uiPriority w:val="60"/>
    <w:rsid w:val="0098213E"/>
    <w:pPr>
      <w:spacing w:after="0"/>
    </w:pPr>
    <w:rPr>
      <w:color w:val="B50050" w:themeColor="accent3" w:themeShade="BF"/>
    </w:rPr>
    <w:tblPr>
      <w:tblStyleRowBandSize w:val="1"/>
      <w:tblStyleColBandSize w:val="1"/>
      <w:tblBorders>
        <w:top w:val="single" w:color="F2016C" w:themeColor="accent3" w:sz="8" w:space="0"/>
        <w:bottom w:val="single" w:color="F2016C" w:themeColor="accent3" w:sz="8" w:space="0"/>
      </w:tblBorders>
    </w:tblPr>
    <w:tblStylePr w:type="firstRow">
      <w:pPr>
        <w:spacing w:before="0" w:after="0" w:line="240" w:lineRule="auto"/>
      </w:pPr>
      <w:rPr>
        <w:b/>
        <w:bCs/>
      </w:rPr>
      <w:tblPr/>
      <w:tcPr>
        <w:tcBorders>
          <w:top w:val="single" w:color="F2016C" w:themeColor="accent3" w:sz="8" w:space="0"/>
          <w:left w:val="nil"/>
          <w:bottom w:val="single" w:color="F2016C" w:themeColor="accent3" w:sz="8" w:space="0"/>
          <w:right w:val="nil"/>
          <w:insideH w:val="nil"/>
          <w:insideV w:val="nil"/>
        </w:tcBorders>
      </w:tcPr>
    </w:tblStylePr>
    <w:tblStylePr w:type="lastRow">
      <w:pPr>
        <w:spacing w:before="0" w:after="0" w:line="240" w:lineRule="auto"/>
      </w:pPr>
      <w:rPr>
        <w:b/>
        <w:bCs/>
      </w:rPr>
      <w:tblPr/>
      <w:tcPr>
        <w:tcBorders>
          <w:top w:val="single" w:color="F2016C" w:themeColor="accent3" w:sz="8" w:space="0"/>
          <w:left w:val="nil"/>
          <w:bottom w:val="single" w:color="F2016C"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BDDA" w:themeFill="accent3" w:themeFillTint="3F"/>
      </w:tcPr>
    </w:tblStylePr>
    <w:tblStylePr w:type="band1Horz">
      <w:tblPr/>
      <w:tcPr>
        <w:tcBorders>
          <w:left w:val="nil"/>
          <w:right w:val="nil"/>
          <w:insideH w:val="nil"/>
          <w:insideV w:val="nil"/>
        </w:tcBorders>
        <w:shd w:val="clear" w:color="auto" w:fill="FEBDDA" w:themeFill="accent3" w:themeFillTint="3F"/>
      </w:tcPr>
    </w:tblStylePr>
  </w:style>
  <w:style w:type="table" w:styleId="LightList-Accent2">
    <w:name w:val="Light List Accent 2"/>
    <w:basedOn w:val="TableNormal"/>
    <w:uiPriority w:val="61"/>
    <w:rsid w:val="0098213E"/>
    <w:pPr>
      <w:spacing w:after="0"/>
    </w:pPr>
    <w:tblPr>
      <w:tblStyleRowBandSize w:val="1"/>
      <w:tblStyleColBandSize w:val="1"/>
      <w:tblBorders>
        <w:top w:val="single" w:color="4B4B4B" w:themeColor="accent2" w:sz="8" w:space="0"/>
        <w:left w:val="single" w:color="4B4B4B" w:themeColor="accent2" w:sz="8" w:space="0"/>
        <w:bottom w:val="single" w:color="4B4B4B" w:themeColor="accent2" w:sz="8" w:space="0"/>
        <w:right w:val="single" w:color="4B4B4B" w:themeColor="accent2" w:sz="8" w:space="0"/>
      </w:tblBorders>
    </w:tblPr>
    <w:tblStylePr w:type="firstRow">
      <w:pPr>
        <w:spacing w:before="0" w:after="0" w:line="240" w:lineRule="auto"/>
      </w:pPr>
      <w:rPr>
        <w:b/>
        <w:bCs/>
        <w:color w:val="FFFFFF" w:themeColor="background1"/>
      </w:rPr>
      <w:tblPr/>
      <w:tcPr>
        <w:shd w:val="clear" w:color="auto" w:fill="4B4B4B" w:themeFill="accent2"/>
      </w:tcPr>
    </w:tblStylePr>
    <w:tblStylePr w:type="lastRow">
      <w:pPr>
        <w:spacing w:before="0" w:after="0" w:line="240" w:lineRule="auto"/>
      </w:pPr>
      <w:rPr>
        <w:b/>
        <w:bCs/>
      </w:rPr>
      <w:tblPr/>
      <w:tcPr>
        <w:tcBorders>
          <w:top w:val="double" w:color="4B4B4B" w:themeColor="accent2" w:sz="6" w:space="0"/>
          <w:left w:val="single" w:color="4B4B4B" w:themeColor="accent2" w:sz="8" w:space="0"/>
          <w:bottom w:val="single" w:color="4B4B4B" w:themeColor="accent2" w:sz="8" w:space="0"/>
          <w:right w:val="single" w:color="4B4B4B" w:themeColor="accent2" w:sz="8" w:space="0"/>
        </w:tcBorders>
      </w:tcPr>
    </w:tblStylePr>
    <w:tblStylePr w:type="firstCol">
      <w:rPr>
        <w:b/>
        <w:bCs/>
      </w:rPr>
    </w:tblStylePr>
    <w:tblStylePr w:type="lastCol">
      <w:rPr>
        <w:b/>
        <w:bCs/>
      </w:rPr>
    </w:tblStylePr>
    <w:tblStylePr w:type="band1Vert">
      <w:tblPr/>
      <w:tcPr>
        <w:tcBorders>
          <w:top w:val="single" w:color="4B4B4B" w:themeColor="accent2" w:sz="8" w:space="0"/>
          <w:left w:val="single" w:color="4B4B4B" w:themeColor="accent2" w:sz="8" w:space="0"/>
          <w:bottom w:val="single" w:color="4B4B4B" w:themeColor="accent2" w:sz="8" w:space="0"/>
          <w:right w:val="single" w:color="4B4B4B" w:themeColor="accent2" w:sz="8" w:space="0"/>
        </w:tcBorders>
      </w:tcPr>
    </w:tblStylePr>
    <w:tblStylePr w:type="band1Horz">
      <w:tblPr/>
      <w:tcPr>
        <w:tcBorders>
          <w:top w:val="single" w:color="4B4B4B" w:themeColor="accent2" w:sz="8" w:space="0"/>
          <w:left w:val="single" w:color="4B4B4B" w:themeColor="accent2" w:sz="8" w:space="0"/>
          <w:bottom w:val="single" w:color="4B4B4B" w:themeColor="accent2" w:sz="8" w:space="0"/>
          <w:right w:val="single" w:color="4B4B4B" w:themeColor="accent2" w:sz="8" w:space="0"/>
        </w:tcBorders>
      </w:tcPr>
    </w:tblStylePr>
  </w:style>
  <w:style w:type="table" w:styleId="LightList-Accent3">
    <w:name w:val="Light List Accent 3"/>
    <w:basedOn w:val="TableNormal"/>
    <w:uiPriority w:val="61"/>
    <w:rsid w:val="0098213E"/>
    <w:pPr>
      <w:spacing w:after="0"/>
    </w:pPr>
    <w:tblPr>
      <w:tblStyleRowBandSize w:val="1"/>
      <w:tblStyleColBandSize w:val="1"/>
      <w:tblBorders>
        <w:top w:val="single" w:color="F2016C" w:themeColor="accent3" w:sz="8" w:space="0"/>
        <w:left w:val="single" w:color="F2016C" w:themeColor="accent3" w:sz="8" w:space="0"/>
        <w:bottom w:val="single" w:color="F2016C" w:themeColor="accent3" w:sz="8" w:space="0"/>
        <w:right w:val="single" w:color="F2016C" w:themeColor="accent3" w:sz="8" w:space="0"/>
      </w:tblBorders>
    </w:tblPr>
    <w:tblStylePr w:type="firstRow">
      <w:pPr>
        <w:spacing w:before="0" w:after="0" w:line="240" w:lineRule="auto"/>
      </w:pPr>
      <w:rPr>
        <w:b/>
        <w:bCs/>
        <w:color w:val="FFFFFF" w:themeColor="background1"/>
      </w:rPr>
      <w:tblPr/>
      <w:tcPr>
        <w:shd w:val="clear" w:color="auto" w:fill="F2016C" w:themeFill="accent3"/>
      </w:tcPr>
    </w:tblStylePr>
    <w:tblStylePr w:type="lastRow">
      <w:pPr>
        <w:spacing w:before="0" w:after="0" w:line="240" w:lineRule="auto"/>
      </w:pPr>
      <w:rPr>
        <w:b/>
        <w:bCs/>
      </w:rPr>
      <w:tblPr/>
      <w:tcPr>
        <w:tcBorders>
          <w:top w:val="double" w:color="F2016C" w:themeColor="accent3" w:sz="6" w:space="0"/>
          <w:left w:val="single" w:color="F2016C" w:themeColor="accent3" w:sz="8" w:space="0"/>
          <w:bottom w:val="single" w:color="F2016C" w:themeColor="accent3" w:sz="8" w:space="0"/>
          <w:right w:val="single" w:color="F2016C" w:themeColor="accent3" w:sz="8" w:space="0"/>
        </w:tcBorders>
      </w:tcPr>
    </w:tblStylePr>
    <w:tblStylePr w:type="firstCol">
      <w:rPr>
        <w:b/>
        <w:bCs/>
      </w:rPr>
    </w:tblStylePr>
    <w:tblStylePr w:type="lastCol">
      <w:rPr>
        <w:b/>
        <w:bCs/>
      </w:rPr>
    </w:tblStylePr>
    <w:tblStylePr w:type="band1Vert">
      <w:tblPr/>
      <w:tcPr>
        <w:tcBorders>
          <w:top w:val="single" w:color="F2016C" w:themeColor="accent3" w:sz="8" w:space="0"/>
          <w:left w:val="single" w:color="F2016C" w:themeColor="accent3" w:sz="8" w:space="0"/>
          <w:bottom w:val="single" w:color="F2016C" w:themeColor="accent3" w:sz="8" w:space="0"/>
          <w:right w:val="single" w:color="F2016C" w:themeColor="accent3" w:sz="8" w:space="0"/>
        </w:tcBorders>
      </w:tcPr>
    </w:tblStylePr>
    <w:tblStylePr w:type="band1Horz">
      <w:tblPr/>
      <w:tcPr>
        <w:tcBorders>
          <w:top w:val="single" w:color="F2016C" w:themeColor="accent3" w:sz="8" w:space="0"/>
          <w:left w:val="single" w:color="F2016C" w:themeColor="accent3" w:sz="8" w:space="0"/>
          <w:bottom w:val="single" w:color="F2016C" w:themeColor="accent3" w:sz="8" w:space="0"/>
          <w:right w:val="single" w:color="F2016C" w:themeColor="accent3" w:sz="8" w:space="0"/>
        </w:tcBorders>
      </w:tcPr>
    </w:tblStylePr>
  </w:style>
  <w:style w:type="table" w:styleId="MediumShading1-Accent11" w:customStyle="1">
    <w:name w:val="Medium Shading 1 - Accent 11"/>
    <w:basedOn w:val="TableNormal"/>
    <w:uiPriority w:val="63"/>
    <w:rsid w:val="0098213E"/>
    <w:pPr>
      <w:spacing w:after="0"/>
    </w:pPr>
    <w:tblPr>
      <w:tblStyleRowBandSize w:val="1"/>
      <w:tblStyleColBandSize w:val="1"/>
      <w:tblBorders>
        <w:top w:val="single" w:color="FF8D34" w:themeColor="accent1" w:themeTint="BF" w:sz="8" w:space="0"/>
        <w:left w:val="single" w:color="FF8D34" w:themeColor="accent1" w:themeTint="BF" w:sz="8" w:space="0"/>
        <w:bottom w:val="single" w:color="FF8D34" w:themeColor="accent1" w:themeTint="BF" w:sz="8" w:space="0"/>
        <w:right w:val="single" w:color="FF8D34" w:themeColor="accent1" w:themeTint="BF" w:sz="8" w:space="0"/>
        <w:insideH w:val="single" w:color="FF8D34" w:themeColor="accent1" w:themeTint="BF" w:sz="8" w:space="0"/>
      </w:tblBorders>
    </w:tblPr>
    <w:tblStylePr w:type="firstRow">
      <w:pPr>
        <w:spacing w:before="0" w:after="0" w:line="240" w:lineRule="auto"/>
      </w:pPr>
      <w:rPr>
        <w:b/>
        <w:bCs/>
        <w:color w:val="FFFFFF" w:themeColor="background1"/>
      </w:rPr>
      <w:tblPr/>
      <w:tcPr>
        <w:tcBorders>
          <w:top w:val="single" w:color="FF8D34" w:themeColor="accent1" w:themeTint="BF" w:sz="8" w:space="0"/>
          <w:left w:val="single" w:color="FF8D34" w:themeColor="accent1" w:themeTint="BF" w:sz="8" w:space="0"/>
          <w:bottom w:val="single" w:color="FF8D34" w:themeColor="accent1" w:themeTint="BF" w:sz="8" w:space="0"/>
          <w:right w:val="single" w:color="FF8D34" w:themeColor="accent1" w:themeTint="BF" w:sz="8" w:space="0"/>
          <w:insideH w:val="nil"/>
          <w:insideV w:val="nil"/>
        </w:tcBorders>
        <w:shd w:val="clear" w:color="auto" w:fill="F06A00" w:themeFill="accent1"/>
      </w:tcPr>
    </w:tblStylePr>
    <w:tblStylePr w:type="lastRow">
      <w:pPr>
        <w:spacing w:before="0" w:after="0" w:line="240" w:lineRule="auto"/>
      </w:pPr>
      <w:rPr>
        <w:b/>
        <w:bCs/>
      </w:rPr>
      <w:tblPr/>
      <w:tcPr>
        <w:tcBorders>
          <w:top w:val="double" w:color="FF8D34" w:themeColor="accent1" w:themeTint="BF" w:sz="6" w:space="0"/>
          <w:left w:val="single" w:color="FF8D34" w:themeColor="accent1" w:themeTint="BF" w:sz="8" w:space="0"/>
          <w:bottom w:val="single" w:color="FF8D34" w:themeColor="accent1" w:themeTint="BF" w:sz="8" w:space="0"/>
          <w:right w:val="single" w:color="FF8D34"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FFD9BC" w:themeFill="accent1" w:themeFillTint="3F"/>
      </w:tcPr>
    </w:tblStylePr>
    <w:tblStylePr w:type="band1Horz">
      <w:tblPr/>
      <w:tcPr>
        <w:tcBorders>
          <w:insideH w:val="nil"/>
          <w:insideV w:val="nil"/>
        </w:tcBorders>
        <w:shd w:val="clear" w:color="auto" w:fill="FFD9BC" w:themeFill="accent1" w:themeFillTint="3F"/>
      </w:tcPr>
    </w:tblStylePr>
    <w:tblStylePr w:type="band2Horz">
      <w:tblPr/>
      <w:tcPr>
        <w:tcBorders>
          <w:insideH w:val="nil"/>
          <w:insideV w:val="nil"/>
        </w:tcBorders>
      </w:tcPr>
    </w:tblStylePr>
  </w:style>
  <w:style w:type="paragraph" w:styleId="BodyTextGrey" w:customStyle="1">
    <w:name w:val="Body Text Grey"/>
    <w:basedOn w:val="BodyText"/>
    <w:link w:val="BodyTextGreyChar"/>
    <w:qFormat/>
    <w:rsid w:val="0031795F"/>
    <w:pPr>
      <w:spacing w:after="200"/>
    </w:pPr>
    <w:rPr>
      <w:color w:val="455560"/>
      <w:lang w:eastAsia="en-US"/>
    </w:rPr>
  </w:style>
  <w:style w:type="paragraph" w:styleId="White" w:customStyle="1">
    <w:name w:val="White"/>
    <w:basedOn w:val="BodyText"/>
    <w:next w:val="BodyTextGrey"/>
    <w:uiPriority w:val="2"/>
    <w:qFormat/>
    <w:rsid w:val="006C2E18"/>
    <w:pPr>
      <w:spacing w:after="200"/>
    </w:pPr>
    <w:rPr>
      <w:color w:val="FFFFFF" w:themeColor="background1"/>
      <w:lang w:eastAsia="en-US"/>
    </w:rPr>
  </w:style>
  <w:style w:type="paragraph" w:styleId="Orange" w:customStyle="1">
    <w:name w:val="Orange"/>
    <w:basedOn w:val="BodyText"/>
    <w:next w:val="BodyTextGrey"/>
    <w:uiPriority w:val="2"/>
    <w:rsid w:val="006C2E18"/>
    <w:pPr>
      <w:spacing w:after="200"/>
    </w:pPr>
    <w:rPr>
      <w:color w:val="F06A00" w:themeColor="accent1"/>
      <w:lang w:eastAsia="en-US"/>
    </w:rPr>
  </w:style>
  <w:style w:type="numbering" w:styleId="HRBullet" w:customStyle="1">
    <w:name w:val="HR Bullet"/>
    <w:uiPriority w:val="99"/>
    <w:rsid w:val="00E42972"/>
    <w:pPr>
      <w:numPr>
        <w:numId w:val="3"/>
      </w:numPr>
    </w:pPr>
  </w:style>
  <w:style w:type="paragraph" w:styleId="ListParagraph">
    <w:name w:val="List Paragraph"/>
    <w:basedOn w:val="Normal"/>
    <w:uiPriority w:val="34"/>
    <w:qFormat/>
    <w:rsid w:val="00EA5AE2"/>
    <w:pPr>
      <w:ind w:left="720"/>
      <w:contextualSpacing/>
    </w:pPr>
  </w:style>
  <w:style w:type="paragraph" w:styleId="Blue" w:customStyle="1">
    <w:name w:val="Blue"/>
    <w:basedOn w:val="BodyText"/>
    <w:next w:val="BodyTextGrey"/>
    <w:uiPriority w:val="2"/>
    <w:qFormat/>
    <w:rsid w:val="006C2E18"/>
    <w:pPr>
      <w:spacing w:after="200"/>
    </w:pPr>
    <w:rPr>
      <w:color w:val="3FA6CC" w:themeColor="text1"/>
      <w:lang w:eastAsia="en-US"/>
    </w:rPr>
  </w:style>
  <w:style w:type="paragraph" w:styleId="HRTest18" w:customStyle="1">
    <w:name w:val="HRTest18"/>
    <w:basedOn w:val="Normal"/>
    <w:uiPriority w:val="3"/>
    <w:rsid w:val="0098213E"/>
    <w:pPr>
      <w:spacing w:after="20"/>
      <w:ind w:left="200"/>
    </w:pPr>
    <w:rPr>
      <w:caps/>
      <w:color w:val="FF9900"/>
    </w:rPr>
  </w:style>
  <w:style w:type="table" w:styleId="LightList-Accent4">
    <w:name w:val="Light List Accent 4"/>
    <w:basedOn w:val="TableNormal"/>
    <w:uiPriority w:val="61"/>
    <w:rsid w:val="0098213E"/>
    <w:pPr>
      <w:spacing w:after="0"/>
    </w:pPr>
    <w:tblPr>
      <w:tblStyleRowBandSize w:val="1"/>
      <w:tblStyleColBandSize w:val="1"/>
      <w:tblBorders>
        <w:top w:val="single" w:color="3FA6CC" w:themeColor="accent4" w:sz="8" w:space="0"/>
        <w:left w:val="single" w:color="3FA6CC" w:themeColor="accent4" w:sz="8" w:space="0"/>
        <w:bottom w:val="single" w:color="3FA6CC" w:themeColor="accent4" w:sz="8" w:space="0"/>
        <w:right w:val="single" w:color="3FA6CC" w:themeColor="accent4" w:sz="8" w:space="0"/>
      </w:tblBorders>
    </w:tblPr>
    <w:tblStylePr w:type="firstRow">
      <w:pPr>
        <w:spacing w:before="0" w:after="0" w:line="240" w:lineRule="auto"/>
      </w:pPr>
      <w:rPr>
        <w:b/>
        <w:bCs/>
        <w:color w:val="FFFFFF" w:themeColor="background1"/>
      </w:rPr>
      <w:tblPr/>
      <w:tcPr>
        <w:shd w:val="clear" w:color="auto" w:fill="3FA6CC" w:themeFill="accent4"/>
      </w:tcPr>
    </w:tblStylePr>
    <w:tblStylePr w:type="lastRow">
      <w:pPr>
        <w:spacing w:before="0" w:after="0" w:line="240" w:lineRule="auto"/>
      </w:pPr>
      <w:rPr>
        <w:b/>
        <w:bCs/>
      </w:rPr>
      <w:tblPr/>
      <w:tcPr>
        <w:tcBorders>
          <w:top w:val="double" w:color="3FA6CC" w:themeColor="accent4" w:sz="6" w:space="0"/>
          <w:left w:val="single" w:color="3FA6CC" w:themeColor="accent4" w:sz="8" w:space="0"/>
          <w:bottom w:val="single" w:color="3FA6CC" w:themeColor="accent4" w:sz="8" w:space="0"/>
          <w:right w:val="single" w:color="3FA6CC" w:themeColor="accent4" w:sz="8" w:space="0"/>
        </w:tcBorders>
      </w:tcPr>
    </w:tblStylePr>
    <w:tblStylePr w:type="firstCol">
      <w:rPr>
        <w:b/>
        <w:bCs/>
      </w:rPr>
    </w:tblStylePr>
    <w:tblStylePr w:type="lastCol">
      <w:rPr>
        <w:b/>
        <w:bCs/>
      </w:rPr>
    </w:tblStylePr>
    <w:tblStylePr w:type="band1Vert">
      <w:tblPr/>
      <w:tcPr>
        <w:tcBorders>
          <w:top w:val="single" w:color="3FA6CC" w:themeColor="accent4" w:sz="8" w:space="0"/>
          <w:left w:val="single" w:color="3FA6CC" w:themeColor="accent4" w:sz="8" w:space="0"/>
          <w:bottom w:val="single" w:color="3FA6CC" w:themeColor="accent4" w:sz="8" w:space="0"/>
          <w:right w:val="single" w:color="3FA6CC" w:themeColor="accent4" w:sz="8" w:space="0"/>
        </w:tcBorders>
      </w:tcPr>
    </w:tblStylePr>
    <w:tblStylePr w:type="band1Horz">
      <w:tblPr/>
      <w:tcPr>
        <w:tcBorders>
          <w:top w:val="single" w:color="3FA6CC" w:themeColor="accent4" w:sz="8" w:space="0"/>
          <w:left w:val="single" w:color="3FA6CC" w:themeColor="accent4" w:sz="8" w:space="0"/>
          <w:bottom w:val="single" w:color="3FA6CC" w:themeColor="accent4" w:sz="8" w:space="0"/>
          <w:right w:val="single" w:color="3FA6CC" w:themeColor="accent4" w:sz="8" w:space="0"/>
        </w:tcBorders>
      </w:tcPr>
    </w:tblStylePr>
  </w:style>
  <w:style w:type="paragraph" w:styleId="MeetingHeader" w:customStyle="1">
    <w:name w:val="MeetingHeader"/>
    <w:basedOn w:val="BodyText"/>
    <w:uiPriority w:val="3"/>
    <w:rsid w:val="0098213E"/>
    <w:pPr>
      <w:jc w:val="both"/>
    </w:pPr>
    <w:rPr>
      <w:iCs w:val="0"/>
      <w:color w:val="4B4B4B"/>
    </w:rPr>
  </w:style>
  <w:style w:type="paragraph" w:styleId="MeetingHeaderCaps" w:customStyle="1">
    <w:name w:val="MeetingHeaderCaps"/>
    <w:basedOn w:val="BodyText"/>
    <w:uiPriority w:val="3"/>
    <w:rsid w:val="0098213E"/>
    <w:pPr>
      <w:jc w:val="both"/>
    </w:pPr>
    <w:rPr>
      <w:iCs w:val="0"/>
      <w:caps/>
      <w:color w:val="4B4B4B"/>
    </w:rPr>
  </w:style>
  <w:style w:type="paragraph" w:styleId="MeetingTitle" w:customStyle="1">
    <w:name w:val="MeetingTitle"/>
    <w:basedOn w:val="MeetingHeaderCaps"/>
    <w:next w:val="MeetingHeaderCaps"/>
    <w:uiPriority w:val="3"/>
    <w:rsid w:val="0098213E"/>
  </w:style>
  <w:style w:type="character" w:styleId="Style1" w:customStyle="1">
    <w:name w:val="Style1"/>
    <w:uiPriority w:val="1"/>
    <w:rsid w:val="0098213E"/>
  </w:style>
  <w:style w:type="character" w:styleId="SubtleEmphasis">
    <w:name w:val="Subtle Emphasis"/>
    <w:basedOn w:val="DefaultParagraphFont"/>
    <w:uiPriority w:val="19"/>
    <w:rsid w:val="0098213E"/>
    <w:rPr>
      <w:i/>
      <w:iCs/>
      <w:color w:val="9FD2E5" w:themeColor="text1" w:themeTint="7F"/>
    </w:rPr>
  </w:style>
  <w:style w:type="paragraph" w:styleId="Title">
    <w:name w:val="Title"/>
    <w:basedOn w:val="Normal"/>
    <w:link w:val="TitleChar"/>
    <w:uiPriority w:val="3"/>
    <w:rsid w:val="0098213E"/>
    <w:pPr>
      <w:spacing w:before="240" w:after="60" w:line="280" w:lineRule="exact"/>
      <w:jc w:val="left"/>
      <w:outlineLvl w:val="0"/>
    </w:pPr>
    <w:rPr>
      <w:bCs/>
      <w:caps/>
      <w:color w:val="3FA6CC"/>
      <w:kern w:val="28"/>
      <w:sz w:val="36"/>
      <w:szCs w:val="36"/>
    </w:rPr>
  </w:style>
  <w:style w:type="character" w:styleId="TitleChar" w:customStyle="1">
    <w:name w:val="Title Char"/>
    <w:basedOn w:val="DefaultParagraphFont"/>
    <w:link w:val="Title"/>
    <w:uiPriority w:val="3"/>
    <w:rsid w:val="0098213E"/>
    <w:rPr>
      <w:rFonts w:ascii="Arial" w:hAnsi="Arial" w:eastAsia="Times New Roman" w:cs="Arial"/>
      <w:bCs/>
      <w:iCs/>
      <w:caps/>
      <w:color w:val="3FA6CC"/>
      <w:kern w:val="28"/>
      <w:sz w:val="36"/>
      <w:szCs w:val="36"/>
    </w:rPr>
  </w:style>
  <w:style w:type="paragraph" w:styleId="StyleTenderVerticalBigBlue48ptLeft02cmRight02" w:customStyle="1">
    <w:name w:val="Style Tender Vertical Big Blue + 48 pt Left:  0.2 cm Right:  0.2 ..."/>
    <w:basedOn w:val="TenderVerticalBigBlue"/>
    <w:rsid w:val="00302D29"/>
    <w:pPr>
      <w:spacing w:after="20"/>
      <w:ind w:left="113" w:right="113"/>
    </w:pPr>
    <w:rPr>
      <w:rFonts w:cs="Times New Roman"/>
      <w:iCs w:val="0"/>
      <w:caps w:val="0"/>
    </w:rPr>
  </w:style>
  <w:style w:type="paragraph" w:styleId="BulletHymans" w:customStyle="1">
    <w:name w:val="Bullet Hymans"/>
    <w:link w:val="BulletHymansChar"/>
    <w:uiPriority w:val="2"/>
    <w:qFormat/>
    <w:rsid w:val="0031795F"/>
    <w:pPr>
      <w:numPr>
        <w:numId w:val="11"/>
      </w:numPr>
      <w:spacing w:after="140" w:line="280" w:lineRule="exact"/>
    </w:pPr>
    <w:rPr>
      <w:rFonts w:ascii="Arial" w:hAnsi="Arial" w:cs="Arial"/>
      <w:iCs/>
      <w:color w:val="455560"/>
      <w:lang w:eastAsia="en-US"/>
    </w:rPr>
  </w:style>
  <w:style w:type="paragraph" w:styleId="NumberHymans" w:customStyle="1">
    <w:name w:val="Number Hymans"/>
    <w:uiPriority w:val="2"/>
    <w:qFormat/>
    <w:rsid w:val="0031795F"/>
    <w:pPr>
      <w:numPr>
        <w:numId w:val="12"/>
      </w:numPr>
      <w:spacing w:after="140" w:line="280" w:lineRule="exact"/>
    </w:pPr>
    <w:rPr>
      <w:rFonts w:ascii="Arial" w:hAnsi="Arial" w:cs="Arial"/>
      <w:iCs/>
      <w:color w:val="455560"/>
      <w:lang w:eastAsia="en-US"/>
    </w:rPr>
  </w:style>
  <w:style w:type="paragraph" w:styleId="StyleTenderBluetextBefore1pt" w:customStyle="1">
    <w:name w:val="Style Tender Blue text + Before:  1 pt"/>
    <w:basedOn w:val="TenderBluetext"/>
    <w:rsid w:val="00C3770F"/>
    <w:pPr>
      <w:spacing w:before="20"/>
    </w:pPr>
    <w:rPr>
      <w:caps/>
    </w:rPr>
  </w:style>
  <w:style w:type="paragraph" w:styleId="Filepath" w:customStyle="1">
    <w:name w:val="Filepath"/>
    <w:uiPriority w:val="3"/>
    <w:rsid w:val="00425E54"/>
    <w:pPr>
      <w:spacing w:line="280" w:lineRule="atLeast"/>
      <w:ind w:left="-425"/>
    </w:pPr>
    <w:rPr>
      <w:rFonts w:ascii="Arial" w:hAnsi="Arial" w:cs="Arial"/>
      <w:color w:val="4B4B4B"/>
      <w:sz w:val="14"/>
    </w:rPr>
  </w:style>
  <w:style w:type="paragraph" w:styleId="BalloonText">
    <w:name w:val="Balloon Text"/>
    <w:basedOn w:val="Normal"/>
    <w:link w:val="BalloonTextChar"/>
    <w:uiPriority w:val="99"/>
    <w:semiHidden/>
    <w:unhideWhenUsed/>
    <w:rsid w:val="00C530F9"/>
    <w:pPr>
      <w:spacing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530F9"/>
    <w:rPr>
      <w:rFonts w:ascii="Tahoma" w:hAnsi="Tahoma" w:eastAsia="Times New Roman" w:cs="Tahoma"/>
      <w:iCs/>
      <w:color w:val="3FA6CC" w:themeColor="text1"/>
      <w:sz w:val="16"/>
      <w:szCs w:val="16"/>
    </w:rPr>
  </w:style>
  <w:style w:type="paragraph" w:styleId="TitleHeading" w:customStyle="1">
    <w:name w:val="Title Heading"/>
    <w:basedOn w:val="TenderVerticalBigBlue"/>
    <w:link w:val="TitleHeadingChar"/>
    <w:uiPriority w:val="3"/>
    <w:rsid w:val="00336CCD"/>
    <w:pPr>
      <w:spacing w:after="20" w:line="360" w:lineRule="auto"/>
      <w:ind w:left="350"/>
    </w:pPr>
    <w:rPr>
      <w:rFonts w:ascii="Times LT" w:hAnsi="Times LT"/>
      <w:caps w:val="0"/>
      <w:snapToGrid w:val="0"/>
      <w:color w:val="35434D"/>
      <w:sz w:val="96"/>
      <w:szCs w:val="96"/>
    </w:rPr>
  </w:style>
  <w:style w:type="paragraph" w:styleId="TitleHeadingGrey43pt" w:customStyle="1">
    <w:name w:val="Title Heading_Grey_43pt"/>
    <w:basedOn w:val="TitleHeading"/>
    <w:link w:val="TitleHeadingGrey43ptChar"/>
    <w:uiPriority w:val="3"/>
    <w:rsid w:val="00C97A1C"/>
    <w:rPr>
      <w:rFonts w:ascii="Times New Roman" w:hAnsi="Times New Roman" w:cs="Times New Roman"/>
      <w:sz w:val="86"/>
      <w:szCs w:val="86"/>
    </w:rPr>
  </w:style>
  <w:style w:type="character" w:styleId="TenderVerticalBigBlueChar" w:customStyle="1">
    <w:name w:val="Tender Vertical Big Blue Char"/>
    <w:basedOn w:val="DefaultParagraphFont"/>
    <w:link w:val="TenderVerticalBigBlue"/>
    <w:uiPriority w:val="3"/>
    <w:rsid w:val="00336CCD"/>
    <w:rPr>
      <w:rFonts w:ascii="Arial" w:hAnsi="Arial" w:cs="Arial"/>
      <w:iCs/>
      <w:caps/>
      <w:color w:val="40A6CC"/>
      <w:sz w:val="112"/>
      <w:szCs w:val="112"/>
    </w:rPr>
  </w:style>
  <w:style w:type="character" w:styleId="TitleHeadingChar" w:customStyle="1">
    <w:name w:val="Title Heading Char"/>
    <w:basedOn w:val="TenderVerticalBigBlueChar"/>
    <w:link w:val="TitleHeading"/>
    <w:uiPriority w:val="3"/>
    <w:rsid w:val="00336CCD"/>
    <w:rPr>
      <w:rFonts w:ascii="Times LT" w:hAnsi="Times LT" w:cs="Arial"/>
      <w:iCs/>
      <w:caps w:val="0"/>
      <w:snapToGrid w:val="0"/>
      <w:color w:val="35434D"/>
      <w:sz w:val="96"/>
      <w:szCs w:val="96"/>
    </w:rPr>
  </w:style>
  <w:style w:type="paragraph" w:styleId="HeadingGrey43pt" w:customStyle="1">
    <w:name w:val="Heading_Grey_43pt"/>
    <w:basedOn w:val="TitleHeadingGrey43pt"/>
    <w:link w:val="HeadingGrey43ptChar"/>
    <w:uiPriority w:val="3"/>
    <w:rsid w:val="004F4319"/>
    <w:pPr>
      <w:spacing w:line="240" w:lineRule="auto"/>
      <w:ind w:left="-125"/>
    </w:pPr>
    <w:rPr>
      <w:color w:val="455560"/>
    </w:rPr>
  </w:style>
  <w:style w:type="character" w:styleId="TitleHeadingGrey43ptChar" w:customStyle="1">
    <w:name w:val="Title Heading_Grey_43pt Char"/>
    <w:basedOn w:val="TitleHeadingChar"/>
    <w:link w:val="TitleHeadingGrey43pt"/>
    <w:uiPriority w:val="3"/>
    <w:rsid w:val="00C97A1C"/>
    <w:rPr>
      <w:rFonts w:ascii="Times LT" w:hAnsi="Times LT" w:cs="Arial"/>
      <w:iCs/>
      <w:caps w:val="0"/>
      <w:snapToGrid w:val="0"/>
      <w:color w:val="35434D"/>
      <w:sz w:val="86"/>
      <w:szCs w:val="86"/>
    </w:rPr>
  </w:style>
  <w:style w:type="paragraph" w:styleId="Subheading" w:customStyle="1">
    <w:name w:val="Subheading"/>
    <w:basedOn w:val="Heading3"/>
    <w:link w:val="SubheadingChar"/>
    <w:uiPriority w:val="3"/>
    <w:qFormat/>
    <w:rsid w:val="00375E11"/>
    <w:pPr>
      <w:outlineLvl w:val="9"/>
    </w:pPr>
    <w:rPr>
      <w:b w:val="0"/>
      <w:color w:val="3FA6CC" w:themeColor="accent4"/>
      <w:sz w:val="36"/>
      <w:szCs w:val="36"/>
    </w:rPr>
  </w:style>
  <w:style w:type="character" w:styleId="HeadingGrey43ptChar" w:customStyle="1">
    <w:name w:val="Heading_Grey_43pt Char"/>
    <w:basedOn w:val="TitleHeadingGrey43ptChar"/>
    <w:link w:val="HeadingGrey43pt"/>
    <w:uiPriority w:val="3"/>
    <w:rsid w:val="004F4319"/>
    <w:rPr>
      <w:rFonts w:ascii="Times LT" w:hAnsi="Times LT" w:cs="Arial"/>
      <w:iCs/>
      <w:caps w:val="0"/>
      <w:snapToGrid w:val="0"/>
      <w:color w:val="455560"/>
      <w:sz w:val="86"/>
      <w:szCs w:val="86"/>
    </w:rPr>
  </w:style>
  <w:style w:type="paragraph" w:styleId="Subheading1" w:customStyle="1">
    <w:name w:val="Subheading 1"/>
    <w:basedOn w:val="Heading3"/>
    <w:link w:val="Subheading1Char"/>
    <w:uiPriority w:val="3"/>
    <w:qFormat/>
    <w:rsid w:val="002A5B4C"/>
    <w:pPr>
      <w:ind w:left="-122"/>
    </w:pPr>
    <w:rPr>
      <w:b w:val="0"/>
      <w:color w:val="455560"/>
    </w:rPr>
  </w:style>
  <w:style w:type="character" w:styleId="SubheadingChar" w:customStyle="1">
    <w:name w:val="Subheading Char"/>
    <w:basedOn w:val="Heading3Char"/>
    <w:link w:val="Subheading"/>
    <w:uiPriority w:val="3"/>
    <w:rsid w:val="00375E11"/>
    <w:rPr>
      <w:rFonts w:ascii="Arial" w:hAnsi="Arial" w:cs="Arial"/>
      <w:b w:val="0"/>
      <w:iCs/>
      <w:color w:val="3FA6CC" w:themeColor="accent4"/>
      <w:sz w:val="36"/>
      <w:szCs w:val="36"/>
      <w:lang w:eastAsia="en-US"/>
    </w:rPr>
  </w:style>
  <w:style w:type="character" w:styleId="Subheading1Char" w:customStyle="1">
    <w:name w:val="Subheading 1 Char"/>
    <w:basedOn w:val="Heading3Char"/>
    <w:link w:val="Subheading1"/>
    <w:uiPriority w:val="3"/>
    <w:rsid w:val="002A5B4C"/>
    <w:rPr>
      <w:rFonts w:ascii="Arial" w:hAnsi="Arial" w:cs="Arial"/>
      <w:b w:val="0"/>
      <w:iCs/>
      <w:color w:val="455560"/>
      <w:lang w:eastAsia="en-US"/>
    </w:rPr>
  </w:style>
  <w:style w:type="paragraph" w:styleId="BasicParagraph" w:customStyle="1">
    <w:name w:val="[Basic Paragraph]"/>
    <w:basedOn w:val="Normal"/>
    <w:uiPriority w:val="99"/>
    <w:rsid w:val="00133D70"/>
    <w:pPr>
      <w:autoSpaceDE w:val="0"/>
      <w:autoSpaceDN w:val="0"/>
      <w:adjustRightInd w:val="0"/>
      <w:spacing w:before="0" w:line="288" w:lineRule="auto"/>
      <w:jc w:val="left"/>
      <w:textAlignment w:val="center"/>
    </w:pPr>
    <w:rPr>
      <w:rFonts w:ascii="Minion Pro" w:hAnsi="Minion Pro" w:cs="Minion Pro"/>
      <w:iCs w:val="0"/>
      <w:color w:val="000000"/>
      <w:sz w:val="24"/>
      <w:szCs w:val="24"/>
    </w:rPr>
  </w:style>
  <w:style w:type="paragraph" w:styleId="Bodynew" w:customStyle="1">
    <w:name w:val="Body new"/>
    <w:basedOn w:val="BodyTextGrey"/>
    <w:link w:val="BodynewChar"/>
    <w:uiPriority w:val="3"/>
    <w:rsid w:val="00133D70"/>
  </w:style>
  <w:style w:type="paragraph" w:styleId="Subnew" w:customStyle="1">
    <w:name w:val="Sub new"/>
    <w:basedOn w:val="Heading2"/>
    <w:link w:val="SubnewChar"/>
    <w:uiPriority w:val="3"/>
    <w:qFormat/>
    <w:rsid w:val="00133D70"/>
  </w:style>
  <w:style w:type="character" w:styleId="BodyTextGreyChar" w:customStyle="1">
    <w:name w:val="Body Text Grey Char"/>
    <w:basedOn w:val="BodyTextChar"/>
    <w:link w:val="BodyTextGrey"/>
    <w:rsid w:val="0031795F"/>
    <w:rPr>
      <w:rFonts w:ascii="Arial" w:hAnsi="Arial" w:eastAsia="Times New Roman" w:cs="Arial"/>
      <w:iCs/>
      <w:color w:val="455560"/>
      <w:sz w:val="20"/>
      <w:szCs w:val="20"/>
      <w:lang w:eastAsia="en-US"/>
    </w:rPr>
  </w:style>
  <w:style w:type="character" w:styleId="BodynewChar" w:customStyle="1">
    <w:name w:val="Body new Char"/>
    <w:basedOn w:val="BodyTextGreyChar"/>
    <w:link w:val="Bodynew"/>
    <w:uiPriority w:val="3"/>
    <w:rsid w:val="00133D70"/>
    <w:rPr>
      <w:rFonts w:ascii="Arial" w:hAnsi="Arial" w:eastAsia="Times New Roman" w:cs="Arial"/>
      <w:iCs/>
      <w:color w:val="455560"/>
      <w:sz w:val="20"/>
      <w:szCs w:val="20"/>
      <w:lang w:eastAsia="en-US"/>
    </w:rPr>
  </w:style>
  <w:style w:type="character" w:styleId="SubnewChar" w:customStyle="1">
    <w:name w:val="Sub new Char"/>
    <w:basedOn w:val="Heading2Char"/>
    <w:link w:val="Subnew"/>
    <w:uiPriority w:val="3"/>
    <w:rsid w:val="00133D70"/>
    <w:rPr>
      <w:rFonts w:ascii="Arial" w:hAnsi="Arial" w:cs="Arial"/>
      <w:b/>
      <w:iCs/>
      <w:color w:val="6EC040" w:themeColor="accent6"/>
      <w:sz w:val="24"/>
      <w:lang w:eastAsia="en-US"/>
    </w:rPr>
  </w:style>
  <w:style w:type="paragraph" w:styleId="TitleNewGrey" w:customStyle="1">
    <w:name w:val="Title New_Grey"/>
    <w:basedOn w:val="Subheading"/>
    <w:link w:val="TitleNewGreyChar"/>
    <w:uiPriority w:val="3"/>
    <w:qFormat/>
    <w:rsid w:val="00E57572"/>
    <w:rPr>
      <w:rFonts w:ascii="Times New Roman" w:hAnsi="Times New Roman" w:cs="Times New Roman"/>
      <w:color w:val="455560"/>
      <w:sz w:val="80"/>
      <w:szCs w:val="80"/>
    </w:rPr>
  </w:style>
  <w:style w:type="paragraph" w:styleId="Heading2NewGreen" w:customStyle="1">
    <w:name w:val="Heading 2 New Green"/>
    <w:basedOn w:val="Subnew"/>
    <w:link w:val="Heading2NewGreenChar"/>
    <w:uiPriority w:val="3"/>
    <w:rsid w:val="00011AED"/>
  </w:style>
  <w:style w:type="character" w:styleId="TitleNewGreyChar" w:customStyle="1">
    <w:name w:val="Title New_Grey Char"/>
    <w:basedOn w:val="HeadingGrey43ptChar"/>
    <w:link w:val="TitleNewGrey"/>
    <w:uiPriority w:val="3"/>
    <w:rsid w:val="00E57572"/>
    <w:rPr>
      <w:rFonts w:ascii="Times LT" w:hAnsi="Times LT" w:cs="Arial"/>
      <w:iCs/>
      <w:caps w:val="0"/>
      <w:snapToGrid/>
      <w:color w:val="455560"/>
      <w:sz w:val="80"/>
      <w:szCs w:val="80"/>
      <w:lang w:eastAsia="en-US"/>
    </w:rPr>
  </w:style>
  <w:style w:type="paragraph" w:styleId="Heading2NumbersNew" w:customStyle="1">
    <w:name w:val="Heading 2 Numbers New"/>
    <w:basedOn w:val="Heading2Num"/>
    <w:link w:val="Heading2NumbersNewChar"/>
    <w:uiPriority w:val="3"/>
    <w:rsid w:val="00011AED"/>
  </w:style>
  <w:style w:type="character" w:styleId="Heading2NewGreenChar" w:customStyle="1">
    <w:name w:val="Heading 2 New Green Char"/>
    <w:basedOn w:val="SubnewChar"/>
    <w:link w:val="Heading2NewGreen"/>
    <w:uiPriority w:val="3"/>
    <w:rsid w:val="00011AED"/>
    <w:rPr>
      <w:rFonts w:ascii="Arial" w:hAnsi="Arial" w:cs="Arial"/>
      <w:b/>
      <w:iCs/>
      <w:color w:val="6EC040" w:themeColor="accent6"/>
      <w:sz w:val="24"/>
      <w:lang w:eastAsia="en-US"/>
    </w:rPr>
  </w:style>
  <w:style w:type="paragraph" w:styleId="Heading4New" w:customStyle="1">
    <w:name w:val="Heading 4 New"/>
    <w:basedOn w:val="Heading4"/>
    <w:link w:val="Heading4NewChar"/>
    <w:uiPriority w:val="3"/>
    <w:rsid w:val="00D831AA"/>
  </w:style>
  <w:style w:type="character" w:styleId="Heading2NumChar" w:customStyle="1">
    <w:name w:val="Heading 2 Num Char"/>
    <w:basedOn w:val="Heading2Char"/>
    <w:link w:val="Heading2Num"/>
    <w:uiPriority w:val="1"/>
    <w:rsid w:val="0031795F"/>
    <w:rPr>
      <w:rFonts w:ascii="Arial" w:hAnsi="Arial" w:cs="Arial"/>
      <w:b/>
      <w:iCs/>
      <w:color w:val="6EC040" w:themeColor="accent6"/>
      <w:sz w:val="24"/>
      <w:lang w:eastAsia="en-US"/>
    </w:rPr>
  </w:style>
  <w:style w:type="character" w:styleId="Heading2NumbersNewChar" w:customStyle="1">
    <w:name w:val="Heading 2 Numbers New Char"/>
    <w:basedOn w:val="Heading2NumChar"/>
    <w:link w:val="Heading2NumbersNew"/>
    <w:uiPriority w:val="3"/>
    <w:rsid w:val="00011AED"/>
    <w:rPr>
      <w:rFonts w:ascii="Arial" w:hAnsi="Arial" w:cs="Arial"/>
      <w:b/>
      <w:iCs/>
      <w:color w:val="6EC040" w:themeColor="accent6"/>
      <w:sz w:val="24"/>
      <w:lang w:eastAsia="en-US"/>
    </w:rPr>
  </w:style>
  <w:style w:type="paragraph" w:styleId="Heading4Numbers" w:customStyle="1">
    <w:name w:val="Heading 4 Numbers"/>
    <w:basedOn w:val="Heading3Num"/>
    <w:next w:val="BodyText"/>
    <w:link w:val="Heading4NumbersChar"/>
    <w:uiPriority w:val="3"/>
    <w:qFormat/>
    <w:rsid w:val="00D831AA"/>
    <w:rPr>
      <w:color w:val="455560"/>
    </w:rPr>
  </w:style>
  <w:style w:type="character" w:styleId="Heading4NewChar" w:customStyle="1">
    <w:name w:val="Heading 4 New Char"/>
    <w:basedOn w:val="Heading4Char"/>
    <w:link w:val="Heading4New"/>
    <w:uiPriority w:val="3"/>
    <w:rsid w:val="00D831AA"/>
    <w:rPr>
      <w:rFonts w:ascii="Arial" w:hAnsi="Arial" w:cs="Arial"/>
      <w:b/>
      <w:iCs/>
      <w:color w:val="455560"/>
      <w:lang w:eastAsia="en-US"/>
    </w:rPr>
  </w:style>
  <w:style w:type="character" w:styleId="Heading3NumChar" w:customStyle="1">
    <w:name w:val="Heading 3 Num Char"/>
    <w:basedOn w:val="Heading3Char"/>
    <w:link w:val="Heading3Num"/>
    <w:uiPriority w:val="1"/>
    <w:rsid w:val="00D831AA"/>
    <w:rPr>
      <w:rFonts w:ascii="Arial" w:hAnsi="Arial" w:cs="Arial"/>
      <w:b/>
      <w:iCs/>
      <w:color w:val="3FA6CC" w:themeColor="text1"/>
      <w:lang w:eastAsia="en-US"/>
    </w:rPr>
  </w:style>
  <w:style w:type="character" w:styleId="Heading4NumbersChar" w:customStyle="1">
    <w:name w:val="Heading 4 Numbers Char"/>
    <w:basedOn w:val="Heading3NumChar"/>
    <w:link w:val="Heading4Numbers"/>
    <w:uiPriority w:val="3"/>
    <w:rsid w:val="00D831AA"/>
    <w:rPr>
      <w:rFonts w:ascii="Arial" w:hAnsi="Arial" w:cs="Arial"/>
      <w:b/>
      <w:iCs/>
      <w:color w:val="455560"/>
      <w:lang w:eastAsia="en-US"/>
    </w:rPr>
  </w:style>
  <w:style w:type="paragraph" w:styleId="BodyTextNew" w:customStyle="1">
    <w:name w:val="Body Text New"/>
    <w:basedOn w:val="BodyText"/>
    <w:link w:val="BodyTextNewChar"/>
    <w:uiPriority w:val="3"/>
    <w:rsid w:val="001346EF"/>
    <w:rPr>
      <w:color w:val="455560"/>
    </w:rPr>
  </w:style>
  <w:style w:type="paragraph" w:styleId="BulletHymansNew" w:customStyle="1">
    <w:name w:val="Bullet Hymans New"/>
    <w:basedOn w:val="BulletHymans"/>
    <w:link w:val="BulletHymansNewChar"/>
    <w:uiPriority w:val="3"/>
    <w:rsid w:val="001346EF"/>
  </w:style>
  <w:style w:type="character" w:styleId="BodyTextNewChar" w:customStyle="1">
    <w:name w:val="Body Text New Char"/>
    <w:basedOn w:val="BodyTextChar"/>
    <w:link w:val="BodyTextNew"/>
    <w:uiPriority w:val="3"/>
    <w:rsid w:val="001346EF"/>
    <w:rPr>
      <w:rFonts w:ascii="Arial" w:hAnsi="Arial" w:eastAsia="Times New Roman" w:cs="Arial"/>
      <w:iCs/>
      <w:color w:val="455560"/>
      <w:sz w:val="20"/>
      <w:szCs w:val="20"/>
    </w:rPr>
  </w:style>
  <w:style w:type="character" w:styleId="BulletHymansChar" w:customStyle="1">
    <w:name w:val="Bullet Hymans Char"/>
    <w:basedOn w:val="DefaultParagraphFont"/>
    <w:link w:val="BulletHymans"/>
    <w:uiPriority w:val="2"/>
    <w:rsid w:val="0031795F"/>
    <w:rPr>
      <w:rFonts w:ascii="Arial" w:hAnsi="Arial" w:cs="Arial"/>
      <w:iCs/>
      <w:color w:val="455560"/>
      <w:lang w:eastAsia="en-US"/>
    </w:rPr>
  </w:style>
  <w:style w:type="character" w:styleId="BulletHymansNewChar" w:customStyle="1">
    <w:name w:val="Bullet Hymans New Char"/>
    <w:basedOn w:val="BulletHymansChar"/>
    <w:link w:val="BulletHymansNew"/>
    <w:uiPriority w:val="3"/>
    <w:rsid w:val="001346EF"/>
    <w:rPr>
      <w:rFonts w:ascii="Arial" w:hAnsi="Arial" w:cs="Arial"/>
      <w:iCs/>
      <w:color w:val="455560"/>
      <w:lang w:eastAsia="en-US"/>
    </w:rPr>
  </w:style>
  <w:style w:type="paragraph" w:styleId="AppendixSubheading" w:customStyle="1">
    <w:name w:val="Appendix Subheading"/>
    <w:basedOn w:val="Subheading"/>
    <w:link w:val="AppendixSubheadingChar"/>
    <w:uiPriority w:val="3"/>
    <w:rsid w:val="00C279EA"/>
  </w:style>
  <w:style w:type="paragraph" w:styleId="TableOfContents" w:customStyle="1">
    <w:name w:val="TableOfContents"/>
    <w:basedOn w:val="TOC1"/>
    <w:link w:val="TableOfContentsChar"/>
    <w:uiPriority w:val="3"/>
    <w:qFormat/>
    <w:rsid w:val="00C279EA"/>
    <w:pPr>
      <w:tabs>
        <w:tab w:val="right" w:pos="9849"/>
        <w:tab w:val="left" w:pos="11656"/>
      </w:tabs>
      <w:ind w:left="-125"/>
    </w:pPr>
    <w:rPr>
      <w:noProof/>
    </w:rPr>
  </w:style>
  <w:style w:type="character" w:styleId="AppendixSubheadingChar" w:customStyle="1">
    <w:name w:val="Appendix Subheading Char"/>
    <w:basedOn w:val="SubheadingChar"/>
    <w:link w:val="AppendixSubheading"/>
    <w:uiPriority w:val="3"/>
    <w:rsid w:val="00C279EA"/>
    <w:rPr>
      <w:rFonts w:ascii="Arial" w:hAnsi="Arial" w:cs="Arial"/>
      <w:b w:val="0"/>
      <w:iCs/>
      <w:color w:val="3FA6CC" w:themeColor="accent4"/>
      <w:sz w:val="36"/>
      <w:szCs w:val="36"/>
      <w:lang w:eastAsia="en-US"/>
    </w:rPr>
  </w:style>
  <w:style w:type="character" w:styleId="TOC1Char" w:customStyle="1">
    <w:name w:val="TOC 1 Char"/>
    <w:basedOn w:val="DefaultParagraphFont"/>
    <w:link w:val="TOC1"/>
    <w:uiPriority w:val="39"/>
    <w:rsid w:val="001307E4"/>
    <w:rPr>
      <w:rFonts w:ascii="Arial" w:hAnsi="Arial" w:cs="Arial"/>
      <w:iCs/>
      <w:color w:val="455560"/>
    </w:rPr>
  </w:style>
  <w:style w:type="character" w:styleId="TableOfContentsChar" w:customStyle="1">
    <w:name w:val="TableOfContents Char"/>
    <w:basedOn w:val="TOC1Char"/>
    <w:link w:val="TableOfContents"/>
    <w:uiPriority w:val="3"/>
    <w:rsid w:val="00C279EA"/>
    <w:rPr>
      <w:rFonts w:ascii="Arial" w:hAnsi="Arial" w:cs="Arial"/>
      <w:iCs/>
      <w:noProof/>
      <w:color w:val="455560"/>
    </w:rPr>
  </w:style>
  <w:style w:type="paragraph" w:styleId="AppendixTitle" w:customStyle="1">
    <w:name w:val="Appendix Title"/>
    <w:basedOn w:val="TitleNewGrey"/>
    <w:link w:val="AppendixTitleChar"/>
    <w:uiPriority w:val="3"/>
    <w:qFormat/>
    <w:rsid w:val="0031795F"/>
  </w:style>
  <w:style w:type="character" w:styleId="AppendixTitleChar" w:customStyle="1">
    <w:name w:val="Appendix Title Char"/>
    <w:basedOn w:val="TitleNewGreyChar"/>
    <w:link w:val="AppendixTitle"/>
    <w:uiPriority w:val="3"/>
    <w:rsid w:val="0031795F"/>
    <w:rPr>
      <w:rFonts w:ascii="Times LT" w:hAnsi="Times LT" w:cs="Arial"/>
      <w:iCs/>
      <w:caps w:val="0"/>
      <w:snapToGrid/>
      <w:color w:val="455560"/>
      <w:sz w:val="80"/>
      <w:szCs w:val="80"/>
      <w:lang w:eastAsia="en-US"/>
    </w:rPr>
  </w:style>
  <w:style w:type="character" w:styleId="HeaderTextBlue" w:customStyle="1">
    <w:name w:val="Header Text Blue"/>
    <w:uiPriority w:val="1"/>
    <w:qFormat/>
    <w:rsid w:val="004D2949"/>
    <w:rPr>
      <w:rFonts w:ascii="Arial" w:hAnsi="Arial"/>
      <w:b w:val="0"/>
      <w:i w:val="0"/>
      <w:caps w:val="0"/>
      <w:smallCaps w:val="0"/>
      <w:strike w:val="0"/>
      <w:dstrike w:val="0"/>
      <w:vanish w:val="0"/>
      <w:color w:val="3FA6CC" w:themeColor="text1"/>
      <w:sz w:val="20"/>
      <w:u w:val="none"/>
      <w:vertAlign w:val="baseline"/>
    </w:rPr>
  </w:style>
  <w:style w:type="character" w:styleId="HeaderTextGrey" w:customStyle="1">
    <w:name w:val="Header Text Grey"/>
    <w:uiPriority w:val="1"/>
    <w:qFormat/>
    <w:rsid w:val="004D2949"/>
    <w:rPr>
      <w:rFonts w:ascii="Arial" w:hAnsi="Arial"/>
      <w:caps/>
      <w:color w:val="455560"/>
      <w:sz w:val="20"/>
    </w:rPr>
  </w:style>
  <w:style w:type="paragraph" w:styleId="CoverDate" w:customStyle="1">
    <w:name w:val="Cover Date"/>
    <w:basedOn w:val="Subheading"/>
    <w:link w:val="CoverDateChar"/>
    <w:uiPriority w:val="3"/>
    <w:rsid w:val="00C03A0D"/>
    <w:pPr>
      <w:framePr w:hSpace="180" w:wrap="around" w:hAnchor="margin" w:vAnchor="text" w:y="6"/>
    </w:pPr>
    <w:rPr>
      <w:color w:val="455560"/>
      <w:sz w:val="24"/>
    </w:rPr>
  </w:style>
  <w:style w:type="character" w:styleId="CoverDateChar" w:customStyle="1">
    <w:name w:val="Cover Date Char"/>
    <w:basedOn w:val="SubheadingChar"/>
    <w:link w:val="CoverDate"/>
    <w:uiPriority w:val="3"/>
    <w:rsid w:val="00C03A0D"/>
    <w:rPr>
      <w:rFonts w:ascii="Arial" w:hAnsi="Arial" w:cs="Arial"/>
      <w:b w:val="0"/>
      <w:iCs/>
      <w:color w:val="455560"/>
      <w:sz w:val="24"/>
      <w:szCs w:val="36"/>
      <w:lang w:eastAsia="en-US"/>
    </w:rPr>
  </w:style>
  <w:style w:type="character" w:styleId="CommentReference">
    <w:name w:val="annotation reference"/>
    <w:basedOn w:val="DefaultParagraphFont"/>
    <w:uiPriority w:val="99"/>
    <w:semiHidden/>
    <w:unhideWhenUsed/>
    <w:rsid w:val="00D862C0"/>
    <w:rPr>
      <w:sz w:val="16"/>
      <w:szCs w:val="16"/>
    </w:rPr>
  </w:style>
  <w:style w:type="paragraph" w:styleId="CommentText">
    <w:name w:val="annotation text"/>
    <w:basedOn w:val="Normal"/>
    <w:link w:val="CommentTextChar"/>
    <w:uiPriority w:val="99"/>
    <w:unhideWhenUsed/>
    <w:rsid w:val="00D862C0"/>
    <w:pPr>
      <w:spacing w:line="240" w:lineRule="auto"/>
    </w:pPr>
  </w:style>
  <w:style w:type="character" w:styleId="CommentTextChar" w:customStyle="1">
    <w:name w:val="Comment Text Char"/>
    <w:basedOn w:val="DefaultParagraphFont"/>
    <w:link w:val="CommentText"/>
    <w:uiPriority w:val="99"/>
    <w:rsid w:val="00D862C0"/>
    <w:rPr>
      <w:rFonts w:ascii="Arial" w:hAnsi="Arial" w:cs="Arial"/>
      <w:iCs/>
      <w:color w:val="3FA6CC" w:themeColor="text1"/>
    </w:rPr>
  </w:style>
  <w:style w:type="paragraph" w:styleId="Default" w:customStyle="1">
    <w:name w:val="Default"/>
    <w:rsid w:val="00D862C0"/>
    <w:pPr>
      <w:autoSpaceDE w:val="0"/>
      <w:autoSpaceDN w:val="0"/>
      <w:adjustRightInd w:val="0"/>
      <w:spacing w:before="0" w:after="0"/>
    </w:pPr>
    <w:rPr>
      <w:rFonts w:ascii="Arial" w:hAnsi="Arial" w:cs="Arial"/>
      <w:color w:val="000000"/>
      <w:sz w:val="24"/>
      <w:szCs w:val="24"/>
    </w:rPr>
  </w:style>
  <w:style w:type="paragraph" w:styleId="TOCHeading">
    <w:name w:val="TOC Heading"/>
    <w:basedOn w:val="Heading1"/>
    <w:next w:val="Normal"/>
    <w:uiPriority w:val="39"/>
    <w:unhideWhenUsed/>
    <w:qFormat/>
    <w:rsid w:val="006D4623"/>
    <w:pPr>
      <w:spacing w:before="240" w:after="0" w:line="259" w:lineRule="auto"/>
      <w:outlineLvl w:val="9"/>
    </w:pPr>
    <w:rPr>
      <w:rFonts w:asciiTheme="majorHAnsi" w:hAnsiTheme="majorHAnsi" w:eastAsiaTheme="majorEastAsia" w:cstheme="majorBidi"/>
      <w:color w:val="B34E00" w:themeColor="accent1" w:themeShade="BF"/>
      <w:kern w:val="0"/>
      <w:sz w:val="32"/>
      <w:szCs w:val="32"/>
      <w:lang w:val="en-US"/>
    </w:rPr>
  </w:style>
  <w:style w:type="paragraph" w:styleId="CommentSubject">
    <w:name w:val="annotation subject"/>
    <w:basedOn w:val="CommentText"/>
    <w:next w:val="CommentText"/>
    <w:link w:val="CommentSubjectChar"/>
    <w:uiPriority w:val="99"/>
    <w:semiHidden/>
    <w:unhideWhenUsed/>
    <w:rsid w:val="00A276BE"/>
    <w:rPr>
      <w:b/>
      <w:bCs/>
    </w:rPr>
  </w:style>
  <w:style w:type="character" w:styleId="CommentSubjectChar" w:customStyle="1">
    <w:name w:val="Comment Subject Char"/>
    <w:basedOn w:val="CommentTextChar"/>
    <w:link w:val="CommentSubject"/>
    <w:uiPriority w:val="99"/>
    <w:semiHidden/>
    <w:rsid w:val="00A276BE"/>
    <w:rPr>
      <w:rFonts w:ascii="Arial" w:hAnsi="Arial" w:cs="Arial"/>
      <w:b/>
      <w:bCs/>
      <w:iCs/>
      <w:color w:val="3FA6CC" w:themeColor="text1"/>
    </w:rPr>
  </w:style>
  <w:style w:type="paragraph" w:styleId="Revision">
    <w:name w:val="Revision"/>
    <w:hidden/>
    <w:uiPriority w:val="99"/>
    <w:semiHidden/>
    <w:rsid w:val="00A276BE"/>
    <w:pPr>
      <w:spacing w:before="0" w:after="0"/>
    </w:pPr>
    <w:rPr>
      <w:rFonts w:ascii="Arial" w:hAnsi="Arial" w:cs="Arial"/>
      <w:iCs/>
      <w:color w:val="3FA6CC" w:themeColor="text1"/>
    </w:rPr>
  </w:style>
  <w:style w:type="character" w:styleId="FollowedHyperlink">
    <w:name w:val="FollowedHyperlink"/>
    <w:basedOn w:val="DefaultParagraphFont"/>
    <w:uiPriority w:val="99"/>
    <w:semiHidden/>
    <w:unhideWhenUsed/>
    <w:rsid w:val="00F3253F"/>
    <w:rPr>
      <w:color w:val="646464" w:themeColor="followedHyperlink"/>
      <w:u w:val="single"/>
    </w:rPr>
  </w:style>
  <w:style w:type="table" w:styleId="TableGrid0" w:customStyle="1">
    <w:name w:val="TableGrid"/>
    <w:rsid w:val="00FE4E68"/>
    <w:pPr>
      <w:spacing w:before="0" w:after="0"/>
    </w:pPr>
    <w:rPr>
      <w:rFonts w:asciiTheme="minorHAnsi" w:hAnsiTheme="minorHAnsi" w:eastAsiaTheme="minorEastAsia" w:cstheme="minorBidi"/>
      <w:sz w:val="22"/>
      <w:szCs w:val="22"/>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6B4BAF"/>
    <w:rPr>
      <w:color w:val="605E5C"/>
      <w:shd w:val="clear" w:color="auto" w:fill="E1DFDD"/>
    </w:rPr>
  </w:style>
  <w:style w:type="paragraph" w:styleId="ListBullet">
    <w:name w:val="List Bullet"/>
    <w:basedOn w:val="Normal"/>
    <w:uiPriority w:val="19"/>
    <w:qFormat/>
    <w:rsid w:val="00B401FF"/>
    <w:pPr>
      <w:numPr>
        <w:numId w:val="36"/>
      </w:numPr>
      <w:spacing w:before="0" w:after="140"/>
      <w:jc w:val="left"/>
    </w:pPr>
    <w:rPr>
      <w:rFonts w:asciiTheme="minorHAnsi" w:hAnsiTheme="minorHAnsi" w:eastAsiaTheme="minorEastAsia" w:cstheme="minorBidi"/>
      <w:iCs w:val="0"/>
      <w:color w:val="6EC040" w:themeColor="text2"/>
      <w:lang w:eastAsia="zh-TW"/>
    </w:rPr>
  </w:style>
  <w:style w:type="paragraph" w:styleId="ListBullet2">
    <w:name w:val="List Bullet 2"/>
    <w:basedOn w:val="Normal"/>
    <w:uiPriority w:val="19"/>
    <w:qFormat/>
    <w:rsid w:val="00B401FF"/>
    <w:pPr>
      <w:numPr>
        <w:ilvl w:val="1"/>
        <w:numId w:val="36"/>
      </w:numPr>
      <w:spacing w:before="0" w:after="140"/>
      <w:jc w:val="left"/>
    </w:pPr>
    <w:rPr>
      <w:rFonts w:asciiTheme="minorHAnsi" w:hAnsiTheme="minorHAnsi" w:eastAsiaTheme="minorEastAsia" w:cstheme="minorBidi"/>
      <w:iCs w:val="0"/>
      <w:color w:val="6EC040" w:themeColor="text2"/>
      <w:lang w:eastAsia="zh-TW"/>
    </w:rPr>
  </w:style>
  <w:style w:type="paragraph" w:styleId="ListBullet3">
    <w:name w:val="List Bullet 3"/>
    <w:basedOn w:val="Normal"/>
    <w:uiPriority w:val="19"/>
    <w:qFormat/>
    <w:rsid w:val="00B401FF"/>
    <w:pPr>
      <w:numPr>
        <w:ilvl w:val="2"/>
        <w:numId w:val="36"/>
      </w:numPr>
      <w:spacing w:before="0" w:after="140"/>
      <w:jc w:val="left"/>
    </w:pPr>
    <w:rPr>
      <w:rFonts w:asciiTheme="minorHAnsi" w:hAnsiTheme="minorHAnsi" w:eastAsiaTheme="minorEastAsia" w:cstheme="minorBidi"/>
      <w:iCs w:val="0"/>
      <w:color w:val="6EC040" w:themeColor="text2"/>
      <w:lang w:eastAsia="zh-TW"/>
    </w:rPr>
  </w:style>
  <w:style w:type="numbering" w:styleId="BulletList" w:customStyle="1">
    <w:name w:val="BulletList"/>
    <w:uiPriority w:val="99"/>
    <w:rsid w:val="00B401FF"/>
    <w:pPr>
      <w:numPr>
        <w:numId w:val="35"/>
      </w:numPr>
    </w:pPr>
  </w:style>
  <w:style w:type="paragraph" w:styleId="ListBullet4">
    <w:name w:val="List Bullet 4"/>
    <w:basedOn w:val="Normal"/>
    <w:uiPriority w:val="19"/>
    <w:rsid w:val="00B401FF"/>
    <w:pPr>
      <w:numPr>
        <w:ilvl w:val="3"/>
        <w:numId w:val="36"/>
      </w:numPr>
      <w:spacing w:before="0" w:after="140"/>
      <w:jc w:val="left"/>
    </w:pPr>
    <w:rPr>
      <w:rFonts w:asciiTheme="minorHAnsi" w:hAnsiTheme="minorHAnsi" w:eastAsiaTheme="minorEastAsia" w:cstheme="minorBidi"/>
      <w:iCs w:val="0"/>
      <w:color w:val="6EC040" w:themeColor="text2"/>
      <w:lang w:eastAsia="zh-TW"/>
    </w:rPr>
  </w:style>
  <w:style w:type="table" w:styleId="HymansTable2style" w:customStyle="1">
    <w:name w:val="Hymans Table 2 style"/>
    <w:basedOn w:val="TableNormal"/>
    <w:uiPriority w:val="99"/>
    <w:rsid w:val="00B401FF"/>
    <w:pPr>
      <w:spacing w:before="0" w:after="0"/>
    </w:pPr>
    <w:rPr>
      <w:rFonts w:asciiTheme="minorHAnsi" w:hAnsiTheme="minorHAnsi" w:eastAsiaTheme="minorEastAsia" w:cstheme="minorBidi"/>
      <w:color w:val="6EC040" w:themeColor="text2"/>
      <w:sz w:val="18"/>
      <w:szCs w:val="18"/>
      <w:lang w:eastAsia="zh-TW"/>
    </w:rPr>
    <w:tblPr>
      <w:tblBorders>
        <w:insideV w:val="single" w:color="6EC040" w:themeColor="text2" w:sz="4" w:space="0"/>
      </w:tblBorders>
      <w:tblCellMar>
        <w:bottom w:w="57" w:type="dxa"/>
      </w:tblCellMar>
    </w:tblPr>
    <w:tblStylePr w:type="firstRow">
      <w:rPr>
        <w:b/>
        <w:sz w:val="20"/>
      </w:rPr>
      <w:tblPr/>
      <w:tcPr>
        <w:tcBorders>
          <w:top w:val="single" w:color="6EC040" w:themeColor="text2" w:sz="4" w:space="0"/>
          <w:bottom w:val="single" w:color="6EC040" w:themeColor="text2" w:sz="4" w:space="0"/>
        </w:tcBorders>
      </w:tcPr>
    </w:tblStylePr>
    <w:tblStylePr w:type="firstCol">
      <w:rPr>
        <w:b/>
        <w:bCs/>
        <w:iCs w:val="0"/>
        <w:sz w:val="20"/>
        <w:szCs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7363">
      <w:bodyDiv w:val="1"/>
      <w:marLeft w:val="0"/>
      <w:marRight w:val="0"/>
      <w:marTop w:val="0"/>
      <w:marBottom w:val="0"/>
      <w:divBdr>
        <w:top w:val="none" w:sz="0" w:space="0" w:color="auto"/>
        <w:left w:val="none" w:sz="0" w:space="0" w:color="auto"/>
        <w:bottom w:val="none" w:sz="0" w:space="0" w:color="auto"/>
        <w:right w:val="none" w:sz="0" w:space="0" w:color="auto"/>
      </w:divBdr>
    </w:div>
    <w:div w:id="70663745">
      <w:bodyDiv w:val="1"/>
      <w:marLeft w:val="0"/>
      <w:marRight w:val="0"/>
      <w:marTop w:val="0"/>
      <w:marBottom w:val="0"/>
      <w:divBdr>
        <w:top w:val="none" w:sz="0" w:space="0" w:color="auto"/>
        <w:left w:val="none" w:sz="0" w:space="0" w:color="auto"/>
        <w:bottom w:val="none" w:sz="0" w:space="0" w:color="auto"/>
        <w:right w:val="none" w:sz="0" w:space="0" w:color="auto"/>
      </w:divBdr>
    </w:div>
    <w:div w:id="610164318">
      <w:bodyDiv w:val="1"/>
      <w:marLeft w:val="0"/>
      <w:marRight w:val="0"/>
      <w:marTop w:val="0"/>
      <w:marBottom w:val="0"/>
      <w:divBdr>
        <w:top w:val="none" w:sz="0" w:space="0" w:color="auto"/>
        <w:left w:val="none" w:sz="0" w:space="0" w:color="auto"/>
        <w:bottom w:val="none" w:sz="0" w:space="0" w:color="auto"/>
        <w:right w:val="none" w:sz="0" w:space="0" w:color="auto"/>
      </w:divBdr>
    </w:div>
    <w:div w:id="704216281">
      <w:bodyDiv w:val="1"/>
      <w:marLeft w:val="0"/>
      <w:marRight w:val="0"/>
      <w:marTop w:val="0"/>
      <w:marBottom w:val="0"/>
      <w:divBdr>
        <w:top w:val="none" w:sz="0" w:space="0" w:color="auto"/>
        <w:left w:val="none" w:sz="0" w:space="0" w:color="auto"/>
        <w:bottom w:val="none" w:sz="0" w:space="0" w:color="auto"/>
        <w:right w:val="none" w:sz="0" w:space="0" w:color="auto"/>
      </w:divBdr>
    </w:div>
    <w:div w:id="1494252369">
      <w:bodyDiv w:val="1"/>
      <w:marLeft w:val="0"/>
      <w:marRight w:val="0"/>
      <w:marTop w:val="0"/>
      <w:marBottom w:val="0"/>
      <w:divBdr>
        <w:top w:val="none" w:sz="0" w:space="0" w:color="auto"/>
        <w:left w:val="none" w:sz="0" w:space="0" w:color="auto"/>
        <w:bottom w:val="none" w:sz="0" w:space="0" w:color="auto"/>
        <w:right w:val="none" w:sz="0" w:space="0" w:color="auto"/>
      </w:divBdr>
    </w:div>
    <w:div w:id="1660689388">
      <w:bodyDiv w:val="1"/>
      <w:marLeft w:val="0"/>
      <w:marRight w:val="0"/>
      <w:marTop w:val="0"/>
      <w:marBottom w:val="0"/>
      <w:divBdr>
        <w:top w:val="none" w:sz="0" w:space="0" w:color="auto"/>
        <w:left w:val="none" w:sz="0" w:space="0" w:color="auto"/>
        <w:bottom w:val="none" w:sz="0" w:space="0" w:color="auto"/>
        <w:right w:val="none" w:sz="0" w:space="0" w:color="auto"/>
      </w:divBdr>
    </w:div>
    <w:div w:id="1846629183">
      <w:bodyDiv w:val="1"/>
      <w:marLeft w:val="0"/>
      <w:marRight w:val="0"/>
      <w:marTop w:val="0"/>
      <w:marBottom w:val="0"/>
      <w:divBdr>
        <w:top w:val="none" w:sz="0" w:space="0" w:color="auto"/>
        <w:left w:val="none" w:sz="0" w:space="0" w:color="auto"/>
        <w:bottom w:val="none" w:sz="0" w:space="0" w:color="auto"/>
        <w:right w:val="none" w:sz="0" w:space="0" w:color="auto"/>
      </w:divBdr>
    </w:div>
    <w:div w:id="208089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questions-statements.parliament.uk/written-statements/detail/2022-07-21/hcws261"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assets.publishing.service.gov.uk/government/uploads/system/uploads/attachment_data/file/281208/LGPS_liabilities_parliamentary_minute_2013_V4.pdf"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R Colour">
  <a:themeElements>
    <a:clrScheme name="HR Colour">
      <a:dk1>
        <a:srgbClr val="3FA6CC"/>
      </a:dk1>
      <a:lt1>
        <a:srgbClr val="FFFFFF"/>
      </a:lt1>
      <a:dk2>
        <a:srgbClr val="6EC040"/>
      </a:dk2>
      <a:lt2>
        <a:srgbClr val="FFFFFF"/>
      </a:lt2>
      <a:accent1>
        <a:srgbClr val="F06A00"/>
      </a:accent1>
      <a:accent2>
        <a:srgbClr val="4B4B4B"/>
      </a:accent2>
      <a:accent3>
        <a:srgbClr val="F2016C"/>
      </a:accent3>
      <a:accent4>
        <a:srgbClr val="3FA6CC"/>
      </a:accent4>
      <a:accent5>
        <a:srgbClr val="646464"/>
      </a:accent5>
      <a:accent6>
        <a:srgbClr val="6EC040"/>
      </a:accent6>
      <a:hlink>
        <a:srgbClr val="F73D96"/>
      </a:hlink>
      <a:folHlink>
        <a:srgbClr val="646464"/>
      </a:folHlink>
    </a:clrScheme>
    <a:fontScheme name="HR Colou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HR Colou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5f08f1fb-8c34-44d6-a8d5-778f680b1754">
      <UserInfo>
        <DisplayName/>
        <AccountId xsi:nil="true"/>
        <AccountType/>
      </UserInfo>
    </SharedWithUsers>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88fc5d54363b8523748d741a4990772">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bb5e1a77407597882090be46fa0a15e3"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2CE1BF-83BB-4B6D-BD7B-78AF9DF29475}">
  <ds:schemaRefs>
    <ds:schemaRef ds:uri="http://schemas.openxmlformats.org/officeDocument/2006/bibliography"/>
  </ds:schemaRefs>
</ds:datastoreItem>
</file>

<file path=customXml/itemProps2.xml><?xml version="1.0" encoding="utf-8"?>
<ds:datastoreItem xmlns:ds="http://schemas.openxmlformats.org/officeDocument/2006/customXml" ds:itemID="{C6C10B02-8CBE-4227-BC1F-9294789B52F6}">
  <ds:schemaRefs>
    <ds:schemaRef ds:uri="http://schemas.microsoft.com/office/2006/metadata/properties"/>
    <ds:schemaRef ds:uri="http://schemas.microsoft.com/office/infopath/2007/PartnerControls"/>
    <ds:schemaRef ds:uri="fb421853-688c-4895-9bf8-6bc14ea16dd3"/>
    <ds:schemaRef ds:uri="75f017ce-8fe9-4f14-bafe-74422bb7015b"/>
  </ds:schemaRefs>
</ds:datastoreItem>
</file>

<file path=customXml/itemProps3.xml><?xml version="1.0" encoding="utf-8"?>
<ds:datastoreItem xmlns:ds="http://schemas.openxmlformats.org/officeDocument/2006/customXml" ds:itemID="{0B0D3F34-E88C-40A2-9DA0-F4B26CD82DD3}">
  <ds:schemaRefs>
    <ds:schemaRef ds:uri="http://schemas.microsoft.com/sharepoint/v3/contenttype/forms"/>
  </ds:schemaRefs>
</ds:datastoreItem>
</file>

<file path=customXml/itemProps4.xml><?xml version="1.0" encoding="utf-8"?>
<ds:datastoreItem xmlns:ds="http://schemas.openxmlformats.org/officeDocument/2006/customXml" ds:itemID="{39C1C229-E5B4-445F-8317-EC9CE667177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TOSHIBA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Robert.McInroy@hymans.co.uk</dc:creator>
  <cp:lastModifiedBy>Cory Blose</cp:lastModifiedBy>
  <cp:revision>21</cp:revision>
  <cp:lastPrinted>2019-08-07T13:49:00Z</cp:lastPrinted>
  <dcterms:created xsi:type="dcterms:W3CDTF">2025-04-22T08:23:00Z</dcterms:created>
  <dcterms:modified xsi:type="dcterms:W3CDTF">2025-10-30T11:30:39Z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SIP_Label_7076a646-e270-4141-8b9b-e98ee6f3ecd9_Enabled">
    <vt:lpwstr>true</vt:lpwstr>
  </property>
  <property fmtid="{D5CDD505-2E9C-101B-9397-08002B2CF9AE}" pid="4" name="MSIP_Label_7076a646-e270-4141-8b9b-e98ee6f3ecd9_SetDate">
    <vt:lpwstr>2025-04-01T15:42:46Z</vt:lpwstr>
  </property>
  <property fmtid="{D5CDD505-2E9C-101B-9397-08002B2CF9AE}" pid="5" name="MSIP_Label_7076a646-e270-4141-8b9b-e98ee6f3ecd9_Method">
    <vt:lpwstr>Privileged</vt:lpwstr>
  </property>
  <property fmtid="{D5CDD505-2E9C-101B-9397-08002B2CF9AE}" pid="6" name="MSIP_Label_7076a646-e270-4141-8b9b-e98ee6f3ecd9_Name">
    <vt:lpwstr>Client Confidential</vt:lpwstr>
  </property>
  <property fmtid="{D5CDD505-2E9C-101B-9397-08002B2CF9AE}" pid="7" name="MSIP_Label_7076a646-e270-4141-8b9b-e98ee6f3ecd9_SiteId">
    <vt:lpwstr>a2276d23-b281-4962-9c99-3c5c8d9895c5</vt:lpwstr>
  </property>
  <property fmtid="{D5CDD505-2E9C-101B-9397-08002B2CF9AE}" pid="8" name="MSIP_Label_7076a646-e270-4141-8b9b-e98ee6f3ecd9_ActionId">
    <vt:lpwstr>ffe02f58-fb71-49e3-9b71-1b57647dcda7</vt:lpwstr>
  </property>
  <property fmtid="{D5CDD505-2E9C-101B-9397-08002B2CF9AE}" pid="9" name="MSIP_Label_7076a646-e270-4141-8b9b-e98ee6f3ecd9_ContentBits">
    <vt:lpwstr>0</vt:lpwstr>
  </property>
  <property fmtid="{D5CDD505-2E9C-101B-9397-08002B2CF9AE}" pid="10" name="MSIP_Label_7076a646-e270-4141-8b9b-e98ee6f3ecd9_Tag">
    <vt:lpwstr>10, 0, 1, 1</vt:lpwstr>
  </property>
  <property fmtid="{D5CDD505-2E9C-101B-9397-08002B2CF9AE}" pid="11" name="MediaServiceImageTags">
    <vt:lpwstr/>
  </property>
  <property fmtid="{D5CDD505-2E9C-101B-9397-08002B2CF9AE}" pid="12" name="Order">
    <vt:r8>2625200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